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80" w:lineRule="exact"/>
        <w:jc w:val="center"/>
        <w:rPr>
          <w:rFonts w:hint="eastAsia" w:asciiTheme="minorEastAsia" w:hAnsiTheme="minorEastAsia" w:eastAsiaTheme="minorEastAsia"/>
        </w:rPr>
      </w:pPr>
      <w:r>
        <w:rPr>
          <w:rFonts w:hint="eastAsia" w:asciiTheme="minorEastAsia" w:hAnsiTheme="minorEastAsia" w:eastAsiaTheme="minorEastAsia"/>
          <w:sz w:val="24"/>
        </w:rPr>
        <w:t>意見公募（パブリックコメント）の実施結果について</w:t>
      </w:r>
    </w:p>
    <w:p>
      <w:pPr>
        <w:pStyle w:val="0"/>
        <w:spacing w:line="380" w:lineRule="exact"/>
        <w:jc w:val="center"/>
        <w:rPr>
          <w:rFonts w:hint="eastAsia" w:asciiTheme="minorEastAsia" w:hAnsiTheme="minorEastAsia" w:eastAsiaTheme="minorEastAsia"/>
        </w:rPr>
      </w:pPr>
    </w:p>
    <w:tbl>
      <w:tblPr>
        <w:tblStyle w:val="17"/>
        <w:tblpPr w:leftFromText="142" w:rightFromText="142" w:topFromText="0" w:bottomFromText="0" w:vertAnchor="text" w:horzAnchor="text" w:tblpX="-599" w:tblpY="16"/>
        <w:tblW w:w="0" w:type="auto"/>
        <w:tblLayout w:type="fixed"/>
        <w:tblLook w:firstRow="1" w:lastRow="0" w:firstColumn="1" w:lastColumn="0" w:noHBand="0" w:noVBand="1" w:val="04A0"/>
      </w:tblPr>
      <w:tblGrid>
        <w:gridCol w:w="548"/>
        <w:gridCol w:w="1322"/>
        <w:gridCol w:w="2907"/>
        <w:gridCol w:w="5688"/>
      </w:tblGrid>
      <w:tr>
        <w:trPr>
          <w:trHeight w:val="359" w:hRule="atLeast"/>
        </w:trPr>
        <w:tc>
          <w:tcPr>
            <w:tcW w:w="1870" w:type="dxa"/>
            <w:gridSpan w:val="2"/>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案件名</w:t>
            </w:r>
          </w:p>
        </w:tc>
        <w:tc>
          <w:tcPr>
            <w:tcW w:w="8595" w:type="dxa"/>
            <w:gridSpan w:val="2"/>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第６次登別市社会教育中期計画（案）</w:t>
            </w:r>
          </w:p>
        </w:tc>
      </w:tr>
      <w:tr>
        <w:trPr>
          <w:trHeight w:val="359" w:hRule="atLeast"/>
        </w:trPr>
        <w:tc>
          <w:tcPr>
            <w:tcW w:w="1870" w:type="dxa"/>
            <w:gridSpan w:val="2"/>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意見の募集期間</w:t>
            </w:r>
          </w:p>
        </w:tc>
        <w:tc>
          <w:tcPr>
            <w:tcW w:w="8595" w:type="dxa"/>
            <w:gridSpan w:val="2"/>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令和３年６月１日（火）から令和３年６月３０日（水）まで</w:t>
            </w:r>
          </w:p>
        </w:tc>
      </w:tr>
      <w:tr>
        <w:trPr>
          <w:trHeight w:val="359" w:hRule="atLeast"/>
        </w:trPr>
        <w:tc>
          <w:tcPr>
            <w:tcW w:w="1870" w:type="dxa"/>
            <w:gridSpan w:val="2"/>
            <w:vAlign w:val="center"/>
          </w:tcPr>
          <w:p>
            <w:pPr>
              <w:pStyle w:val="0"/>
              <w:jc w:val="center"/>
              <w:rPr>
                <w:rFonts w:hint="eastAsia"/>
                <w:sz w:val="24"/>
              </w:rPr>
            </w:pPr>
            <w:r>
              <w:rPr>
                <w:rFonts w:hint="eastAsia"/>
                <w:sz w:val="21"/>
              </w:rPr>
              <w:t>担当グループ</w:t>
            </w:r>
          </w:p>
        </w:tc>
        <w:tc>
          <w:tcPr>
            <w:tcW w:w="8595" w:type="dxa"/>
            <w:gridSpan w:val="2"/>
            <w:vAlign w:val="top"/>
          </w:tcPr>
          <w:p>
            <w:pPr>
              <w:pStyle w:val="0"/>
              <w:rPr>
                <w:rFonts w:hint="eastAsia"/>
                <w:sz w:val="21"/>
              </w:rPr>
            </w:pPr>
            <w:r>
              <w:rPr>
                <w:rFonts w:hint="eastAsia"/>
                <w:sz w:val="21"/>
              </w:rPr>
              <w:t>教育部社会教育グループ</w:t>
            </w:r>
          </w:p>
        </w:tc>
      </w:tr>
      <w:tr>
        <w:trPr>
          <w:trHeight w:val="359" w:hRule="atLeast"/>
        </w:trPr>
        <w:tc>
          <w:tcPr>
            <w:tcW w:w="1870" w:type="dxa"/>
            <w:gridSpan w:val="2"/>
            <w:vAlign w:val="center"/>
          </w:tcPr>
          <w:p>
            <w:pPr>
              <w:pStyle w:val="0"/>
              <w:jc w:val="center"/>
              <w:rPr>
                <w:rFonts w:hint="eastAsia"/>
              </w:rPr>
            </w:pPr>
            <w:r>
              <w:rPr>
                <w:rFonts w:hint="eastAsia"/>
              </w:rPr>
              <w:t>意見の提出件数</w:t>
            </w:r>
          </w:p>
        </w:tc>
        <w:tc>
          <w:tcPr>
            <w:tcW w:w="8595" w:type="dxa"/>
            <w:gridSpan w:val="2"/>
            <w:vAlign w:val="top"/>
          </w:tcPr>
          <w:p>
            <w:pPr>
              <w:pStyle w:val="0"/>
              <w:rPr>
                <w:rFonts w:hint="eastAsia"/>
              </w:rPr>
            </w:pPr>
            <w:r>
              <w:rPr>
                <w:rFonts w:hint="eastAsia"/>
              </w:rPr>
              <w:t>１件（２項目）</w:t>
            </w:r>
          </w:p>
        </w:tc>
      </w:tr>
      <w:tr>
        <w:trPr>
          <w:trHeight w:val="359" w:hRule="atLeast"/>
        </w:trPr>
        <w:tc>
          <w:tcPr>
            <w:tcW w:w="1046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提出された意見の要旨と市の考え方</w:t>
            </w:r>
          </w:p>
        </w:tc>
      </w:tr>
      <w:tr>
        <w:trPr>
          <w:trHeight w:val="359" w:hRule="atLeast"/>
        </w:trPr>
        <w:tc>
          <w:tcPr>
            <w:tcW w:w="5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w:t>
            </w:r>
          </w:p>
        </w:tc>
        <w:tc>
          <w:tcPr>
            <w:tcW w:w="422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意見の要旨</w:t>
            </w:r>
          </w:p>
        </w:tc>
        <w:tc>
          <w:tcPr>
            <w:tcW w:w="568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市の考え方</w:t>
            </w:r>
          </w:p>
        </w:tc>
      </w:tr>
      <w:tr>
        <w:trPr>
          <w:trHeight w:val="11751" w:hRule="atLeast"/>
        </w:trPr>
        <w:tc>
          <w:tcPr>
            <w:tcW w:w="548"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１</w:t>
            </w:r>
          </w:p>
        </w:tc>
        <w:tc>
          <w:tcPr>
            <w:tcW w:w="422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①</w:t>
            </w:r>
            <w:r>
              <w:rPr>
                <w:rFonts w:hint="eastAsia" w:asciiTheme="minorEastAsia" w:hAnsiTheme="minorEastAsia" w:eastAsiaTheme="minorEastAsia"/>
                <w:sz w:val="21"/>
              </w:rPr>
              <w:t>GIGA</w:t>
            </w:r>
            <w:r>
              <w:rPr>
                <w:rFonts w:hint="eastAsia" w:asciiTheme="minorEastAsia" w:hAnsiTheme="minorEastAsia" w:eastAsiaTheme="minorEastAsia"/>
                <w:sz w:val="21"/>
              </w:rPr>
              <w:t>スクール構想について</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他市では、端末の価格設定について問題視する報道がされている場合があります。</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そこで、費用負担について市民・保護者が納得する形や、賄賂等疑念を持たれない透明性のある策定が必要と考えます。</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この点について記述を求めます。</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また、端末の</w:t>
            </w:r>
            <w:r>
              <w:rPr>
                <w:rFonts w:hint="eastAsia" w:asciiTheme="minorEastAsia" w:hAnsiTheme="minorEastAsia" w:eastAsiaTheme="minorEastAsia"/>
                <w:sz w:val="21"/>
              </w:rPr>
              <w:t>OS</w:t>
            </w:r>
            <w:r>
              <w:rPr>
                <w:rFonts w:hint="eastAsia" w:asciiTheme="minorEastAsia" w:hAnsiTheme="minorEastAsia" w:eastAsiaTheme="minorEastAsia"/>
                <w:sz w:val="21"/>
              </w:rPr>
              <w:t>のあり方やスペックについてや、必要なソフトウエアのあり方についても透明性と記述が必要ではないか。</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極論ですが、既にリクルート社のスタディサプリ等教育役務がありますが、学校の先生の教え方のあり方も考えていく必要性があるのではないか。この事は「３家庭教育」とも密接に関わる問題だと考えます。</w:t>
            </w:r>
          </w:p>
          <w:p>
            <w:pPr>
              <w:pStyle w:val="0"/>
              <w:ind w:firstLine="210" w:firstLineChars="100"/>
              <w:rPr>
                <w:rFonts w:hint="eastAsia" w:asciiTheme="minorEastAsia" w:hAnsiTheme="minorEastAsia" w:eastAsiaTheme="minorEastAsia"/>
                <w:sz w:val="21"/>
              </w:rPr>
            </w:pPr>
          </w:p>
          <w:p>
            <w:pPr>
              <w:pStyle w:val="0"/>
              <w:ind w:firstLine="210" w:firstLineChars="100"/>
              <w:rPr>
                <w:rFonts w:hint="eastAsia" w:asciiTheme="minorEastAsia" w:hAnsiTheme="minorEastAsia" w:eastAsiaTheme="minorEastAsia"/>
                <w:sz w:val="21"/>
              </w:rPr>
            </w:pPr>
          </w:p>
          <w:p>
            <w:pPr>
              <w:pStyle w:val="0"/>
              <w:ind w:firstLine="210" w:firstLineChars="100"/>
              <w:rPr>
                <w:rFonts w:hint="eastAsia" w:asciiTheme="minorEastAsia" w:hAnsiTheme="minorEastAsia" w:eastAsiaTheme="minorEastAsia"/>
                <w:sz w:val="21"/>
              </w:rPr>
            </w:pPr>
          </w:p>
          <w:p>
            <w:pPr>
              <w:pStyle w:val="0"/>
              <w:ind w:firstLine="210" w:firstLineChars="100"/>
              <w:rPr>
                <w:rFonts w:hint="eastAsia" w:asciiTheme="minorEastAsia" w:hAnsiTheme="minorEastAsia" w:eastAsiaTheme="minorEastAsia"/>
                <w:sz w:val="21"/>
              </w:rPr>
            </w:pPr>
          </w:p>
          <w:p>
            <w:pPr>
              <w:pStyle w:val="0"/>
              <w:ind w:firstLine="210" w:firstLineChars="100"/>
              <w:rPr>
                <w:rFonts w:hint="eastAsia" w:asciiTheme="minorEastAsia" w:hAnsiTheme="minorEastAsia" w:eastAsiaTheme="minorEastAsia"/>
                <w:sz w:val="21"/>
              </w:rPr>
            </w:pPr>
          </w:p>
          <w:p>
            <w:pPr>
              <w:pStyle w:val="0"/>
              <w:ind w:firstLine="210" w:firstLineChars="100"/>
              <w:rPr>
                <w:rFonts w:hint="eastAsia" w:asciiTheme="minorEastAsia" w:hAnsiTheme="minorEastAsia" w:eastAsiaTheme="minorEastAsia"/>
                <w:sz w:val="21"/>
              </w:rPr>
            </w:pPr>
          </w:p>
          <w:p>
            <w:pPr>
              <w:pStyle w:val="0"/>
              <w:ind w:firstLine="210" w:firstLineChars="100"/>
              <w:rPr>
                <w:rFonts w:hint="eastAsia" w:asciiTheme="minorEastAsia" w:hAnsiTheme="minorEastAsia" w:eastAsiaTheme="minorEastAsia"/>
                <w:sz w:val="21"/>
              </w:rPr>
            </w:pPr>
          </w:p>
          <w:p>
            <w:pPr>
              <w:pStyle w:val="0"/>
              <w:ind w:firstLine="210" w:firstLineChars="100"/>
              <w:rPr>
                <w:rFonts w:hint="eastAsia" w:asciiTheme="minorEastAsia" w:hAnsiTheme="minorEastAsia" w:eastAsiaTheme="minorEastAsia"/>
                <w:sz w:val="21"/>
              </w:rPr>
            </w:pPr>
            <w:bookmarkStart w:id="0" w:name="_GoBack"/>
            <w:bookmarkEnd w:id="0"/>
          </w:p>
          <w:p>
            <w:pPr>
              <w:pStyle w:val="0"/>
              <w:ind w:firstLine="210" w:firstLineChars="100"/>
              <w:rPr>
                <w:rFonts w:hint="eastAsia" w:asciiTheme="minorEastAsia" w:hAnsiTheme="minorEastAsia" w:eastAsiaTheme="minorEastAsia"/>
                <w:sz w:val="21"/>
              </w:rPr>
            </w:pPr>
          </w:p>
          <w:p>
            <w:pPr>
              <w:pStyle w:val="0"/>
              <w:ind w:firstLine="210" w:firstLineChars="10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②少子化によって、文化系とくに吹奏楽が壊滅的な状況になっています。</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一方で、</w:t>
            </w:r>
            <w:r>
              <w:rPr>
                <w:rFonts w:hint="eastAsia" w:asciiTheme="minorEastAsia" w:hAnsiTheme="minorEastAsia" w:eastAsiaTheme="minorEastAsia"/>
                <w:sz w:val="21"/>
              </w:rPr>
              <w:t>DTM</w:t>
            </w:r>
            <w:r>
              <w:rPr>
                <w:rFonts w:hint="eastAsia" w:asciiTheme="minorEastAsia" w:hAnsiTheme="minorEastAsia" w:eastAsiaTheme="minorEastAsia"/>
                <w:sz w:val="21"/>
              </w:rPr>
              <w:t>といった方法や</w:t>
            </w:r>
            <w:r>
              <w:rPr>
                <w:rFonts w:hint="eastAsia" w:asciiTheme="minorEastAsia" w:hAnsiTheme="minorEastAsia" w:eastAsiaTheme="minorEastAsia"/>
                <w:sz w:val="21"/>
              </w:rPr>
              <w:t>SNS</w:t>
            </w:r>
            <w:r>
              <w:rPr>
                <w:rFonts w:hint="eastAsia" w:asciiTheme="minorEastAsia" w:hAnsiTheme="minorEastAsia" w:eastAsiaTheme="minorEastAsia"/>
                <w:sz w:val="21"/>
              </w:rPr>
              <w:t>・動画サイトを活用し、作曲制作した作品を世界に発信するという事も可能である。</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学校の統廃合で合理的な学校運営が必要ではないか。</w:t>
            </w:r>
          </w:p>
        </w:tc>
        <w:tc>
          <w:tcPr>
            <w:tcW w:w="568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①本市では、国の</w:t>
            </w:r>
            <w:r>
              <w:rPr>
                <w:rFonts w:hint="eastAsia" w:asciiTheme="minorEastAsia" w:hAnsiTheme="minorEastAsia" w:eastAsiaTheme="minorEastAsia"/>
                <w:sz w:val="21"/>
              </w:rPr>
              <w:t>GIGA</w:t>
            </w:r>
            <w:r>
              <w:rPr>
                <w:rFonts w:hint="eastAsia" w:asciiTheme="minorEastAsia" w:hAnsiTheme="minorEastAsia" w:eastAsiaTheme="minorEastAsia"/>
                <w:sz w:val="21"/>
              </w:rPr>
              <w:t>スクール構想に基づき、令和２年度に児童生徒１人１台端末を導入しましたが、国の補助金及び交付金を活用したため、保護者の費用負担はありませんでした。</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また、端末は市の規定に基づき競争入札により購入しております。</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端末について国は１人１台端末の基本モデル例を３種類示しており本市では、クロームブックを導入しました。</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クロームブックは、起動が早く、データーはクラウド上に保存されるため、端末が故障した場合においてもデーターの復旧が容易であり、共同電算を実施している西胆振３市１町において、同じ端末を導入した場合、教職員が他自治体に異動した際におきましても、スムーズに端末を使用できることから、３市１町においてクロームブックを導入しております。</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教育活動において</w:t>
            </w:r>
            <w:r>
              <w:rPr>
                <w:rFonts w:hint="eastAsia" w:asciiTheme="minorEastAsia" w:hAnsiTheme="minorEastAsia" w:eastAsiaTheme="minorEastAsia"/>
                <w:sz w:val="21"/>
              </w:rPr>
              <w:t>ICT</w:t>
            </w:r>
            <w:r>
              <w:rPr>
                <w:rFonts w:hint="eastAsia" w:asciiTheme="minorEastAsia" w:hAnsiTheme="minorEastAsia" w:eastAsiaTheme="minorEastAsia"/>
                <w:sz w:val="21"/>
              </w:rPr>
              <w:t>機器を活用することにより、学習活動の一層の充実や、主体的、対話的で深い学びの視点からの授業改善が期待されますが、教員の活用スキルや児童生徒の習熟度により、実施できる取組や効果は異なりますので、パソコン端末が身近な学習ツールとなるよう、使い方の指導や学習で効果的に使える場面を設定して、積極的に試行することからスタートし、パソコン端末の操作と活用の習熟を図るなど段階的にＩＣＴ機器を活用した教育を進めているところです。</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②児童生徒数の減少により、文化系だけではなく、全ての部活動においてさまざまな課題が生じているものと認識しています。</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登別市教育委員会では、引き続き、小中学校の適正配置にかかる取り組みを推進するとともに、国が進める「学校の働き方改革を踏まえた部活動改革」に沿った地域部活動への移行など、持続可能な部活動の構築を目指してまいります。</w:t>
            </w:r>
          </w:p>
        </w:tc>
      </w:tr>
    </w:tbl>
    <w:p>
      <w:pPr>
        <w:pStyle w:val="0"/>
        <w:rPr>
          <w:rFonts w:hint="eastAsia" w:asciiTheme="minorEastAsia" w:hAnsiTheme="minorEastAsia" w:eastAsiaTheme="minorEastAsia"/>
        </w:rPr>
      </w:pPr>
      <w:r>
        <w:rPr>
          <w:rFonts w:hint="eastAsia" w:asciiTheme="minorEastAsia" w:hAnsiTheme="minorEastAsia" w:eastAsiaTheme="minorEastAsia"/>
        </w:rPr>
        <w:t>※提出のあった意見のうち、１項目は他事記載であったため、公表の対象としていません。</w:t>
      </w:r>
    </w:p>
    <w:sectPr>
      <w:pgSz w:w="11906" w:h="16838"/>
      <w:pgMar w:top="850" w:right="1417" w:bottom="510"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oNotDisplayPageBoundaries/>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529</TotalTime>
  <Pages>1</Pages>
  <Words>6</Words>
  <Characters>1273</Characters>
  <Application>JUST Note</Application>
  <Lines>81</Lines>
  <Paragraphs>31</Paragraphs>
  <CharactersWithSpaces>1275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相馬 淑香</cp:lastModifiedBy>
  <cp:lastPrinted>2021-07-26T09:04:49Z</cp:lastPrinted>
  <dcterms:modified xsi:type="dcterms:W3CDTF">2021-07-26T03:34:06Z</dcterms:modified>
  <cp:revision>13</cp:revision>
</cp:coreProperties>
</file>