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8463"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1308" w:leftChars="623"/>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1308" w:leftChars="62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308" w:leftChars="623"/>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308" w:leftChars="62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308" w:leftChars="623"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sz w:val="18"/>
              </w:rPr>
            </w:pPr>
            <w:r>
              <w:rPr>
                <w:rFonts w:hint="eastAsia"/>
                <w:sz w:val="18"/>
              </w:rPr>
              <w:t>（表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left="458" w:leftChars="218"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left="458" w:leftChars="218"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PMingLiU"/>
                <w:color w:val="000000"/>
                <w:spacing w:val="16"/>
                <w:kern w:val="0"/>
                <w:sz w:val="16"/>
              </w:rPr>
            </w:pPr>
          </w:p>
        </w:tc>
      </w:tr>
    </w:tbl>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000000"/>
        </w:rPr>
        <w:t>　　　　　　（注２）</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w:t>
      </w:r>
      <w:r>
        <w:rPr>
          <w:rFonts w:hint="eastAsia"/>
        </w:rPr>
        <mc:AlternateContent>
          <mc:Choice Requires="wps">
            <w:drawing>
              <wp:anchor distT="0" distB="0" distL="114300" distR="114300" simplePos="0" relativeHeight="2" behindDoc="0" locked="0" layoutInCell="1" hidden="0" allowOverlap="1">
                <wp:simplePos x="0" y="0"/>
                <wp:positionH relativeFrom="margin">
                  <wp:posOffset>111125</wp:posOffset>
                </wp:positionH>
                <wp:positionV relativeFrom="paragraph">
                  <wp:posOffset>444500</wp:posOffset>
                </wp:positionV>
                <wp:extent cx="6025515" cy="0"/>
                <wp:effectExtent l="0" t="635" r="2857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2551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8.75pt,35pt" to="483.20000000000005pt,35pt">
                <v:fill/>
                <v:stroke linestyle="single" endcap="flat" dashstyle="longdashdot" filltype="solid"/>
                <v:textbox style="layout-flow:horizontal;"/>
                <v:imagedata o:title=""/>
                <w10:wrap type="none" anchorx="margin" anchory="text"/>
              </v:line>
            </w:pict>
          </mc:Fallback>
        </mc:AlternateContent>
      </w:r>
      <w:r>
        <w:rPr>
          <w:rFonts w:hint="eastAsia" w:ascii="ＭＳ ゴシック" w:hAnsi="ＭＳ ゴシック" w:eastAsia="ＭＳ ゴシック"/>
          <w:color w:val="000000"/>
          <w:kern w:val="0"/>
          <w:sz w:val="18"/>
        </w:rPr>
        <w:t>を行うことが必要です。</w:t>
      </w: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bookmarkStart w:id="0" w:name="_GoBack"/>
      <w:bookmarkEnd w:id="0"/>
    </w:p>
    <w:sectPr>
      <w:headerReference r:id="rId6" w:type="default"/>
      <w:footerReference r:id="rId7" w:type="default"/>
      <w:pgSz w:w="11906" w:h="16838"/>
      <w:pgMar w:top="851" w:right="1134" w:bottom="851" w:left="1134" w:header="567"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840" w:rightChars="40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1</Words>
  <Characters>680</Characters>
  <Application>JUST Note</Application>
  <Lines>61</Lines>
  <Paragraphs>32</Paragraphs>
  <Company>METI</Company>
  <CharactersWithSpaces>1086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2025-02-12T07:25:36Z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