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b w:val="1"/>
          <w:sz w:val="28"/>
        </w:rPr>
      </w:pPr>
      <w:r>
        <w:rPr>
          <w:rFonts w:hint="eastAsia" w:ascii="ＭＳ 明朝" w:hAnsi="ＭＳ 明朝" w:eastAsia="ＭＳ 明朝"/>
          <w:b w:val="1"/>
          <w:sz w:val="28"/>
        </w:rPr>
        <w:t>第３６回</w:t>
      </w:r>
      <w:r>
        <w:rPr>
          <w:rFonts w:hint="eastAsia" w:ascii="ＭＳ 明朝" w:hAnsi="ＭＳ 明朝" w:eastAsia="ＭＳ 明朝"/>
          <w:b w:val="1"/>
          <w:sz w:val="28"/>
        </w:rPr>
        <w:t xml:space="preserve"> </w:t>
      </w:r>
      <w:r>
        <w:rPr>
          <w:rFonts w:hint="eastAsia" w:ascii="ＭＳ 明朝" w:hAnsi="ＭＳ 明朝" w:eastAsia="ＭＳ 明朝"/>
          <w:b w:val="1"/>
          <w:sz w:val="28"/>
        </w:rPr>
        <w:t>市民自治推進委員会　産業躍動部会会議録</w:t>
      </w:r>
      <w:bookmarkStart w:id="0" w:name="_GoBack"/>
      <w:bookmarkEnd w:id="0"/>
    </w:p>
    <w:p>
      <w:pPr>
        <w:pStyle w:val="0"/>
        <w:jc w:val="center"/>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（敬称略）</w:t>
      </w:r>
    </w:p>
    <w:tbl>
      <w:tblPr>
        <w:tblStyle w:val="29"/>
        <w:tblW w:w="8494" w:type="dxa"/>
        <w:jc w:val="left"/>
        <w:tblInd w:w="0" w:type="dxa"/>
        <w:tblLayout w:type="fixed"/>
        <w:tblLook w:firstRow="1" w:lastRow="0" w:firstColumn="1" w:lastColumn="0" w:noHBand="0" w:noVBand="1" w:val="04A0"/>
      </w:tblPr>
      <w:tblGrid>
        <w:gridCol w:w="1696"/>
        <w:gridCol w:w="6798"/>
      </w:tblGrid>
      <w:tr>
        <w:trPr/>
        <w:tc>
          <w:tcPr>
            <w:tcW w:w="1696" w:type="dxa"/>
            <w:shd w:val="clear" w:color="auto" w:themeFill="background1" w:themeFillTint="FF" w:themeFillShade="F2"/>
            <w:vAlign w:val="center"/>
          </w:tcPr>
          <w:p>
            <w:pPr>
              <w:pStyle w:val="0"/>
              <w:jc w:val="center"/>
              <w:rPr>
                <w:rFonts w:hint="eastAsia" w:ascii="ＭＳ 明朝" w:hAnsi="ＭＳ 明朝" w:eastAsia="ＭＳ 明朝"/>
                <w:sz w:val="24"/>
              </w:rPr>
            </w:pPr>
            <w:r>
              <w:rPr>
                <w:rFonts w:hint="eastAsia" w:ascii="ＭＳ 明朝" w:hAnsi="ＭＳ 明朝" w:eastAsia="ＭＳ 明朝"/>
                <w:spacing w:val="40"/>
                <w:kern w:val="0"/>
                <w:sz w:val="24"/>
                <w:fitText w:val="1200" w:id="1"/>
              </w:rPr>
              <w:t>開催日</w:t>
            </w:r>
            <w:r>
              <w:rPr>
                <w:rFonts w:hint="eastAsia" w:ascii="ＭＳ 明朝" w:hAnsi="ＭＳ 明朝" w:eastAsia="ＭＳ 明朝"/>
                <w:spacing w:val="30"/>
                <w:kern w:val="0"/>
                <w:sz w:val="24"/>
                <w:fitText w:val="1200" w:id="1"/>
              </w:rPr>
              <w:t>時</w:t>
            </w:r>
          </w:p>
        </w:tc>
        <w:tc>
          <w:tcPr>
            <w:tcW w:w="6798" w:type="dxa"/>
            <w:vAlign w:val="top"/>
          </w:tcPr>
          <w:p>
            <w:pPr>
              <w:pStyle w:val="0"/>
              <w:rPr>
                <w:rFonts w:hint="eastAsia" w:ascii="ＭＳ 明朝" w:hAnsi="ＭＳ 明朝" w:eastAsia="ＭＳ 明朝"/>
                <w:sz w:val="24"/>
              </w:rPr>
            </w:pPr>
            <w:r>
              <w:rPr>
                <w:rFonts w:hint="eastAsia" w:ascii="ＭＳ 明朝" w:hAnsi="ＭＳ 明朝" w:eastAsia="ＭＳ 明朝"/>
                <w:sz w:val="24"/>
              </w:rPr>
              <w:t>令和５年　３月２０日（月）１８時００分～１９時００分</w:t>
            </w:r>
          </w:p>
        </w:tc>
      </w:tr>
      <w:tr>
        <w:trPr/>
        <w:tc>
          <w:tcPr>
            <w:tcW w:w="169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eastAsia" w:ascii="ＭＳ 明朝" w:hAnsi="ＭＳ 明朝" w:eastAsia="ＭＳ 明朝"/>
                <w:sz w:val="24"/>
              </w:rPr>
            </w:pPr>
            <w:r>
              <w:rPr>
                <w:rFonts w:hint="eastAsia" w:ascii="ＭＳ 明朝" w:hAnsi="ＭＳ 明朝" w:eastAsia="ＭＳ 明朝"/>
                <w:spacing w:val="40"/>
                <w:kern w:val="0"/>
                <w:sz w:val="24"/>
                <w:fitText w:val="1200" w:id="2"/>
              </w:rPr>
              <w:t>開催場</w:t>
            </w:r>
            <w:r>
              <w:rPr>
                <w:rFonts w:hint="eastAsia" w:ascii="ＭＳ 明朝" w:hAnsi="ＭＳ 明朝" w:eastAsia="ＭＳ 明朝"/>
                <w:spacing w:val="30"/>
                <w:kern w:val="0"/>
                <w:sz w:val="24"/>
                <w:fitText w:val="1200" w:id="2"/>
              </w:rPr>
              <w:t>所</w:t>
            </w:r>
          </w:p>
        </w:tc>
        <w:tc>
          <w:tcPr>
            <w:tcW w:w="67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登別市役所　２階　第２委員会室</w:t>
            </w:r>
          </w:p>
        </w:tc>
      </w:tr>
      <w:tr>
        <w:trPr/>
        <w:tc>
          <w:tcPr>
            <w:tcW w:w="1696"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出席者</w:t>
            </w:r>
          </w:p>
        </w:tc>
        <w:tc>
          <w:tcPr>
            <w:tcW w:w="67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highlight w:val="none"/>
              </w:rPr>
            </w:pPr>
            <w:r>
              <w:rPr>
                <w:rFonts w:hint="eastAsia" w:ascii="ＭＳ 明朝" w:hAnsi="ＭＳ 明朝" w:eastAsia="ＭＳ 明朝"/>
                <w:sz w:val="24"/>
                <w:highlight w:val="none"/>
              </w:rPr>
              <w:t>（部</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会</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長）川田　弘教</w:t>
            </w:r>
          </w:p>
          <w:p>
            <w:pPr>
              <w:pStyle w:val="0"/>
              <w:rPr>
                <w:rFonts w:hint="eastAsia" w:ascii="ＭＳ 明朝" w:hAnsi="ＭＳ 明朝" w:eastAsia="ＭＳ 明朝"/>
                <w:sz w:val="24"/>
                <w:highlight w:val="none"/>
              </w:rPr>
            </w:pPr>
            <w:r>
              <w:rPr>
                <w:rFonts w:hint="eastAsia" w:ascii="ＭＳ 明朝" w:hAnsi="ＭＳ 明朝" w:eastAsia="ＭＳ 明朝"/>
                <w:sz w:val="24"/>
                <w:highlight w:val="none"/>
              </w:rPr>
              <w:t>（副部会長）吉田　武史</w:t>
            </w:r>
          </w:p>
          <w:p>
            <w:pPr>
              <w:pStyle w:val="0"/>
              <w:ind w:left="1680" w:hanging="1680" w:hangingChars="700"/>
              <w:rPr>
                <w:rFonts w:hint="eastAsia" w:ascii="ＭＳ 明朝" w:hAnsi="ＭＳ 明朝" w:eastAsia="ＭＳ 明朝"/>
                <w:sz w:val="24"/>
                <w:highlight w:val="none"/>
              </w:rPr>
            </w:pPr>
            <w:r>
              <w:rPr>
                <w:rFonts w:hint="eastAsia" w:ascii="ＭＳ 明朝" w:hAnsi="ＭＳ 明朝" w:eastAsia="ＭＳ 明朝"/>
                <w:sz w:val="24"/>
                <w:highlight w:val="none"/>
              </w:rPr>
              <w:t>（部</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会</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員）小川　昌宏、近井　一夫、鈴木　高士</w:t>
            </w:r>
          </w:p>
          <w:p>
            <w:pPr>
              <w:pStyle w:val="0"/>
              <w:ind w:left="1680" w:hanging="1680" w:hangingChars="700"/>
              <w:rPr>
                <w:rFonts w:hint="eastAsia" w:ascii="ＭＳ 明朝" w:hAnsi="ＭＳ 明朝" w:eastAsia="ＭＳ 明朝"/>
                <w:sz w:val="24"/>
                <w:highlight w:val="none"/>
              </w:rPr>
            </w:pPr>
            <w:r>
              <w:rPr>
                <w:rFonts w:hint="eastAsia" w:ascii="ＭＳ 明朝" w:hAnsi="ＭＳ 明朝" w:eastAsia="ＭＳ 明朝"/>
                <w:sz w:val="24"/>
                <w:highlight w:val="none"/>
              </w:rPr>
              <w:t>（庁内委員）渡部　光夫</w:t>
            </w:r>
          </w:p>
          <w:p>
            <w:pPr>
              <w:pStyle w:val="0"/>
              <w:ind w:left="1680" w:hanging="1680" w:hangingChars="700"/>
              <w:rPr>
                <w:rFonts w:hint="eastAsia" w:ascii="ＭＳ 明朝" w:hAnsi="ＭＳ 明朝" w:eastAsia="ＭＳ 明朝"/>
                <w:sz w:val="24"/>
                <w:highlight w:val="none"/>
              </w:rPr>
            </w:pPr>
            <w:r>
              <w:rPr>
                <w:rFonts w:hint="eastAsia" w:ascii="ＭＳ 明朝" w:hAnsi="ＭＳ 明朝" w:eastAsia="ＭＳ 明朝"/>
                <w:sz w:val="24"/>
                <w:highlight w:val="none"/>
              </w:rPr>
              <w:t>（</w:t>
            </w:r>
            <w:r>
              <w:rPr>
                <w:rFonts w:hint="eastAsia" w:ascii="ＭＳ 明朝" w:hAnsi="ＭＳ 明朝" w:eastAsia="ＭＳ 明朝"/>
                <w:spacing w:val="1"/>
                <w:w w:val="66"/>
                <w:sz w:val="24"/>
                <w:highlight w:val="none"/>
                <w:fitText w:val="960" w:id="3"/>
              </w:rPr>
              <w:t>オブザーバ</w:t>
            </w:r>
            <w:r>
              <w:rPr>
                <w:rFonts w:hint="eastAsia" w:ascii="ＭＳ 明朝" w:hAnsi="ＭＳ 明朝" w:eastAsia="ＭＳ 明朝"/>
                <w:spacing w:val="2"/>
                <w:w w:val="66"/>
                <w:sz w:val="24"/>
                <w:highlight w:val="none"/>
                <w:fitText w:val="960" w:id="3"/>
              </w:rPr>
              <w:t>ー</w:t>
            </w:r>
            <w:r>
              <w:rPr>
                <w:rFonts w:hint="eastAsia" w:ascii="ＭＳ 明朝" w:hAnsi="ＭＳ 明朝" w:eastAsia="ＭＳ 明朝"/>
                <w:sz w:val="24"/>
                <w:highlight w:val="none"/>
              </w:rPr>
              <w:t>）北海道登別青嶺高等学校　生徒２名</w:t>
            </w:r>
          </w:p>
          <w:p>
            <w:pPr>
              <w:pStyle w:val="0"/>
              <w:rPr>
                <w:rFonts w:hint="eastAsia" w:ascii="ＭＳ 明朝" w:hAnsi="ＭＳ 明朝" w:eastAsia="ＭＳ 明朝"/>
                <w:sz w:val="24"/>
                <w:highlight w:val="none"/>
              </w:rPr>
            </w:pPr>
            <w:r>
              <w:rPr>
                <w:rFonts w:hint="eastAsia" w:ascii="ＭＳ 明朝" w:hAnsi="ＭＳ 明朝" w:eastAsia="ＭＳ 明朝"/>
                <w:sz w:val="24"/>
                <w:highlight w:val="none"/>
              </w:rPr>
              <w:t>（事</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務</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局）大越　智輝、佐々木　健、松下　英冬　</w:t>
            </w:r>
          </w:p>
          <w:p>
            <w:pPr>
              <w:pStyle w:val="0"/>
              <w:ind w:left="1680" w:hanging="1680" w:hangingChars="700"/>
              <w:rPr>
                <w:rFonts w:hint="eastAsia" w:ascii="ＭＳ 明朝" w:hAnsi="ＭＳ 明朝" w:eastAsia="ＭＳ 明朝"/>
                <w:sz w:val="24"/>
                <w:highlight w:val="none"/>
              </w:rPr>
            </w:pPr>
            <w:r>
              <w:rPr>
                <w:rFonts w:hint="eastAsia" w:ascii="ＭＳ 明朝" w:hAnsi="ＭＳ 明朝" w:eastAsia="ＭＳ 明朝"/>
                <w:sz w:val="24"/>
                <w:highlight w:val="none"/>
              </w:rPr>
              <w:t>（欠席委員）宮下　裕次、玉川　美智子、服部　仁</w:t>
            </w:r>
          </w:p>
        </w:tc>
      </w:tr>
      <w:tr>
        <w:trPr/>
        <w:tc>
          <w:tcPr>
            <w:tcW w:w="1696" w:type="dxa"/>
            <w:shd w:val="clear" w:color="auto" w:themeFill="background1" w:themeFillTint="FF" w:themeFillShade="F2"/>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議題</w:t>
            </w:r>
          </w:p>
        </w:tc>
        <w:tc>
          <w:tcPr>
            <w:tcW w:w="6798" w:type="dxa"/>
            <w:vAlign w:val="top"/>
          </w:tcPr>
          <w:p>
            <w:pPr>
              <w:pStyle w:val="0"/>
              <w:ind w:leftChars="0" w:firstLineChars="0"/>
              <w:rPr>
                <w:rFonts w:hint="eastAsia" w:ascii="ＭＳ 明朝" w:hAnsi="ＭＳ 明朝" w:eastAsia="ＭＳ 明朝"/>
                <w:sz w:val="24"/>
              </w:rPr>
            </w:pPr>
            <w:r>
              <w:rPr>
                <w:rFonts w:hint="eastAsia" w:ascii="ＭＳ 明朝" w:hAnsi="ＭＳ 明朝" w:eastAsia="ＭＳ 明朝"/>
                <w:sz w:val="24"/>
              </w:rPr>
              <w:t>今後の取り組み内容について</w:t>
            </w:r>
          </w:p>
        </w:tc>
      </w:tr>
    </w:tbl>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b w:val="1"/>
          <w:color w:val="auto"/>
          <w:sz w:val="28"/>
          <w:highlight w:val="none"/>
          <w:shd w:val="clear" w:color="auto" w:fill="auto"/>
        </w:rPr>
      </w:pPr>
      <w:r>
        <w:rPr>
          <w:rFonts w:hint="eastAsia" w:ascii="ＭＳ 明朝" w:hAnsi="ＭＳ 明朝" w:eastAsia="ＭＳ 明朝"/>
          <w:b w:val="1"/>
          <w:color w:val="auto"/>
          <w:sz w:val="28"/>
          <w:highlight w:val="none"/>
          <w:shd w:val="clear" w:color="auto" w:fill="auto"/>
        </w:rPr>
        <w:t>【今後の取り組み内容について】</w:t>
      </w:r>
    </w:p>
    <w:p>
      <w:pPr>
        <w:pStyle w:val="0"/>
        <w:ind w:leftChars="0" w:firstLineChars="0"/>
        <w:rPr>
          <w:rFonts w:hint="eastAsia" w:ascii="ＭＳ 明朝" w:hAnsi="ＭＳ 明朝" w:eastAsia="ＭＳ 明朝"/>
          <w:b w:val="1"/>
          <w:color w:val="auto"/>
          <w:sz w:val="28"/>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（事務局）</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前回の部会で、若い世代から「長い動画は視聴されにくい」との意見を受け、インスタグラムを活用した取り組みについて協議してきた。そのなかで、登別国際コンベンション協会が公式インスタグラムを開設しているため、連携した取り組みができるか事務局より同協会へ打診したところ、協力の意向をいただいたため、今回の部会では、投稿用の素材収集や運用方法について協議したい。</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本部会では、観光や食を通した地域経済活性化を模索してきた。そこで、今は</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「スマホ社会」なので、ホームページや長尺動画ではなく、若い世代が日常的に利用しているインスタグラムをはじめとしたＳＮＳを活用して発信していくべきという結論になった。</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インスタグラムなら自ら検索せずとも、普段閲覧している投稿の傾向から自分の興味に近いものが自動で表示される。例として、閻魔焼きそばや登別温泉などの登別市に関する投稿を一度でも閲覧すると次々と似たような投稿がおすすめで表示されるので様々な人の目に触れやすい。</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著作権の観点や新たな発見という面でも、投稿用の素材を大人が用意するのではなく、テーマを決めて学生たちに直接現地（登別温泉街や地獄谷など）を歩いて取材してもらうのが良いのではないか。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以前、投稿する写真に「人」が写っていたほうが閲覧数が伸びるという話を耳にした。例えば、学生たちに登別市の名産品や名所などと共演した短編動画をインスタグラムで投稿するだけでも効果があると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以前、部会の活動で「登別軟石をめぐるツアー」を実施したが、同様にツアー形式にして登別市内の学生たちと共に巡り、興味のあることについて取材してもらうのも良いのではないか。学生たちのような若い世代がどのような視点で興味を持つのか気になるところ。</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確かに、学生の視点は重要だと思う。大人が投稿内容を決めてしまうと押し売りになってしまう。実際に我々が興味を持つところと、投稿を見る人たちの興味を持つところも異なるだろう。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投稿用の素材収集ではなくて、先ほど話があったようにテーマを決めて、観光地の散策や登別市のブランド品を試食してもらうというのはどうだろうか。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例えば、「のぼりべつ夏祭り×登別ブランドまるしぇ」とかで、出店者に登別市の食をＰＲするというテーマでお願いして、その報酬として無料チケットを配布すれば、出店数も増加するだろうし、他にも刈田神社のお祭りや地獄祭りなどとコラボするのも良いと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その他にも酪農の分野であれば、北海道でも高品質の「のぼりべつ牛乳」を知るために、座学として製造工場を見学させてもらい、取材するというのもひとつ。</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例えば、学生たちにのぼりべつ酪農館でバター作りを体験してもらい、その様子を撮影、編集して動画を投稿したら、観た人が興味を持ってくれそう。そうなると、撮影させてもらうために協力を要請し承諾を得る必要があるけれども･･･。</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highlight w:val="yellow"/>
          <w:shd w:val="clear" w:color="auto" w:fill="auto"/>
        </w:rPr>
      </w:pPr>
      <w:r>
        <w:rPr>
          <w:rFonts w:hint="eastAsia" w:ascii="ＭＳ 明朝" w:hAnsi="ＭＳ 明朝" w:eastAsia="ＭＳ 明朝"/>
          <w:color w:val="auto"/>
          <w:sz w:val="24"/>
          <w:shd w:val="clear" w:color="auto" w:fill="auto"/>
        </w:rPr>
        <w:t>（事務局）</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現状、登別国際コンベンション協会の公式インスタグラムの更新頻度があまり多くないので、本委員会で投稿するような短編動画や写真となれば、フォロワー数を増やすために、更新頻度をできれば毎日又は週３回、また投稿する素材収集は本委員会で行い、同協会の負担にならないような方法で協力いただけないか打診しているところ。まずは「温泉街」から情報発信し、徐々に「市内中心部」へ対象範囲を拡大していくのが現実的だと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0" w:leftChars="0" w:firstLine="240" w:firstLineChars="10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登別市民に未だ知られていない観光名所や食について広めることを目的として、ＳＮＳで発信できれば自然にネットを通して広がっていくし、アピールにも繋がる。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FF0000"/>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前回、他の部会員が話していたが、ＳＮＳはフォロワー数２万人というのが一つの成功指標になるのだとか。函館市はそれを達成していて、自分もインスタグラムをインストールして函館市を登録してみたが、色々投稿があった。そう考えると登別市はまだそのようなものが少ないと感じた。</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確かに、登別市はインスタグラムの投稿数が少ないと感じるが、まずは</w:t>
      </w:r>
      <w:r>
        <w:rPr>
          <w:rFonts w:hint="eastAsia" w:ascii="ＭＳ 明朝" w:hAnsi="ＭＳ 明朝" w:eastAsia="ＭＳ 明朝"/>
          <w:color w:val="auto"/>
          <w:sz w:val="24"/>
          <w:highlight w:val="none"/>
          <w:shd w:val="clear" w:color="auto" w:fill="auto"/>
        </w:rPr>
        <w:t>質より</w:t>
      </w:r>
      <w:r>
        <w:rPr>
          <w:rFonts w:hint="eastAsia" w:ascii="ＭＳ 明朝" w:hAnsi="ＭＳ 明朝" w:eastAsia="ＭＳ 明朝"/>
          <w:color w:val="auto"/>
          <w:sz w:val="24"/>
          <w:shd w:val="clear" w:color="auto" w:fill="auto"/>
        </w:rPr>
        <w:t>量を重視し、最初は写真などを毎日投稿できる体制を構築できたら良い。</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例えばだが、ポータルサイトを作成して、不特定多数の人が投稿するという仕組みにはできないのだろうか。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アカウントを共有することはできると思うが、協会側の公式アカウントや市公式アカウントを活用するとなれば厳しいのではないか。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では、投稿するために会員制とかにするのはどうだろうか。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協会や市の公式アカウントで不特定多数が投稿できる仕組みは炎上リスクがあるため、ワンクッション置いた管理体制が必須になるだろう。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もしくは、シェアできる仕組みはないのだろうか。</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投稿用の素材収集をして、適度に投稿する方法もあるが、それだとリアル感が無い。ならば、市内地域別にサポーターを任命して、その方々に地域別の旬の話題などを投稿してもらうとか、他にも食に精通する方にも登録してもらい、食の話題を投稿してもらうとリアル感があって良い。</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highlight w:val="none"/>
          <w:shd w:val="clear" w:color="auto" w:fill="auto"/>
        </w:rPr>
      </w:pPr>
      <w:r>
        <w:rPr>
          <w:rFonts w:hint="eastAsia" w:ascii="ＭＳ 明朝" w:hAnsi="ＭＳ 明朝" w:eastAsia="ＭＳ 明朝"/>
          <w:color w:val="auto"/>
          <w:sz w:val="24"/>
          <w:highlight w:val="none"/>
          <w:shd w:val="clear" w:color="auto" w:fill="auto"/>
        </w:rPr>
        <w:t>（オブザーバー）</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あと、短編動画を投稿するならば動画のメインとなる部分（サムネイル）があれば、多くの方に見てもらえると思う。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今実現するのであれば、非公式アカウントを作成して、誰でも投稿できるようにするのはどうだろうか。その点について事務局としてはどう思う？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（事務局）</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本委員会に関わっている以上、非公式アカウントを作成し不特定多数が投稿できる状態にするのは現実的ではない。やはり、投稿前にこちらで一度内容を精査する必要がある。よって、公式アカウントを作成するか、もしくは協会側のインスタグラムを活用させていただくということになると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highlight w:val="none"/>
          <w:shd w:val="clear" w:color="auto" w:fill="auto"/>
        </w:rPr>
      </w:pPr>
      <w:r>
        <w:rPr>
          <w:rFonts w:hint="eastAsia" w:ascii="ＭＳ 明朝" w:hAnsi="ＭＳ 明朝" w:eastAsia="ＭＳ 明朝"/>
          <w:color w:val="auto"/>
          <w:sz w:val="24"/>
          <w:highlight w:val="none"/>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協会側との協議の感じだと、こちらが想定している頻度での投稿は難しい。協会側も投稿してくれる方を募集してはいるが、今のところ応募者がいない。そうなると今後の見通しが立たなくなってしまう。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例えばだが、こちらから協会側へ提案し、アンバサダーを任命するのはどうだろうか。登別市内の学生などを協会側で任命していただき、ＳＮＳで情報発信をしてもらうイメージ。そうすれば、地元の魅力を発見にも繋がり、それを発信する機会にもな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勝手に考えているが、登別国際コンベンション協会の公式アカウントのフォロワー数２万人にすることを最終目標にしてみては。</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最終目標にするのは良いと思うが、まずは試験的に自分たちが何か自由にできることを模索し、それを繋げて行けるようにしたら良いのではないか。</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（部会員）</w:t>
      </w:r>
    </w:p>
    <w:p>
      <w:pPr>
        <w:pStyle w:val="0"/>
        <w:ind w:leftChars="0" w:firstLineChars="0"/>
        <w:rPr>
          <w:rFonts w:hint="eastAsia"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　本日の部会の協議事項をまとめるが、まずは、インスタグラムなどのＳＮＳアカウントを作成して、実証的に投稿してみることから始める。最初は、非公開で実証的に行い、上手くいけば公開に切り替えて形にしていきたいと思う。</w:t>
      </w:r>
    </w:p>
    <w:p>
      <w:pPr>
        <w:pStyle w:val="0"/>
        <w:ind w:leftChars="0" w:firstLineChars="0"/>
        <w:rPr>
          <w:rFonts w:hint="eastAsia" w:ascii="ＭＳ 明朝" w:hAnsi="ＭＳ 明朝" w:eastAsia="ＭＳ 明朝"/>
          <w:color w:val="auto"/>
          <w:sz w:val="24"/>
          <w:shd w:val="clear" w:color="auto" w:fill="auto"/>
        </w:rPr>
      </w:pPr>
    </w:p>
    <w:p>
      <w:pPr>
        <w:pStyle w:val="0"/>
        <w:ind w:leftChars="0" w:firstLineChars="0"/>
        <w:jc w:val="right"/>
        <w:rPr>
          <w:rFonts w:hint="default"/>
          <w:color w:val="auto"/>
          <w:sz w:val="24"/>
          <w:shd w:val="clear" w:color="auto" w:fill="auto"/>
        </w:rPr>
      </w:pPr>
      <w:r>
        <w:rPr>
          <w:rFonts w:hint="eastAsia" w:ascii="ＭＳ 明朝" w:hAnsi="ＭＳ 明朝" w:eastAsia="ＭＳ 明朝"/>
          <w:color w:val="auto"/>
          <w:sz w:val="24"/>
          <w:shd w:val="clear" w:color="auto" w:fill="auto"/>
        </w:rPr>
        <w:t>以上</w:t>
      </w:r>
    </w:p>
    <w:sectPr>
      <w:footerReference r:id="rId5" w:type="default"/>
      <w:pgSz w:w="11906" w:h="16838"/>
      <w:pgMar w:top="1985" w:right="1701" w:bottom="1701" w:left="1701" w:header="851" w:footer="992" w:gutter="0"/>
      <w:cols w:space="720"/>
      <w:textDirection w:val="lrTb"/>
      <w:docGrid w:type="lines" w:linePitch="3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fixed"/>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AR Pゴシック体S">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__Noto_Sans_JP_7afcbf">
    <w:panose1 w:val="00000000000000000000"/>
    <w:charset w:val="00"/>
    <w:family w:val="auto"/>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AR P楷書体M">
    <w:panose1 w:val="00000000000000000000"/>
    <w:charset w:val="80"/>
    <w:family w:val="script"/>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ascii="BIZ UDPゴシック" w:hAnsi="BIZ UDPゴシック" w:eastAsia="BIZ UDPゴシック"/>
      </w:rPr>
      <w:alias w:val=""/>
      <w:tag w:val=""/>
      <w:lock w:val="unlocked"/>
      <w:docPartObj>
        <w:docPartGallery w:val="Page Numbers (Bottom of Page)"/>
        <w:docPartUnique/>
      </w:docPartObj>
    </w:sdtPr>
    <w:sdtEndPr>
      <w:rPr>
        <w:rFonts w:hint="eastAsia" w:ascii="BIZ UDPゴシック" w:hAnsi="BIZ UDPゴシック" w:eastAsia="BIZ UDPゴシック"/>
      </w:rPr>
    </w:sdtEndPr>
    <w:sdtContent>
      <w:p>
        <w:pPr>
          <w:pStyle w:val="0"/>
          <w:jc w:val="center"/>
          <w:rPr>
            <w:rFonts w:hint="eastAsia" w:ascii="ＭＳ 明朝" w:hAnsi="ＭＳ 明朝" w:eastAsia="ＭＳ 明朝"/>
            <w:sz w:val="24"/>
          </w:rPr>
        </w:pPr>
        <w:r>
          <w:rPr>
            <w:rFonts w:hint="eastAsia"/>
          </w:rPr>
          <w:fldChar w:fldCharType="begin"/>
        </w:r>
        <w:r>
          <w:rPr>
            <w:rFonts w:hint="eastAsia"/>
          </w:rPr>
          <w:instrText xml:space="preserve">PAGE  \* MERGEFORMAT </w:instrText>
        </w:r>
        <w:r>
          <w:rPr>
            <w:rFonts w:hint="eastAsia"/>
          </w:rPr>
          <w:fldChar w:fldCharType="separate"/>
        </w:r>
        <w:r>
          <w:rPr>
            <w:rStyle w:val="28"/>
            <w:rFonts w:hint="eastAsia" w:ascii="ＭＳ 明朝" w:hAnsi="ＭＳ 明朝" w:eastAsia="ＭＳ 明朝"/>
            <w:sz w:val="24"/>
          </w:rPr>
          <w:t>1</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30"/>
  <w:drawingGridVerticalSpacing w:val="18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 Spacing"/>
    <w:next w:val="19"/>
    <w:link w:val="20"/>
    <w:uiPriority w:val="0"/>
    <w:qFormat/>
    <w:rPr>
      <w:kern w:val="0"/>
      <w:sz w:val="22"/>
    </w:rPr>
  </w:style>
  <w:style w:type="character" w:styleId="20" w:customStyle="1">
    <w:name w:val="行間詰め (文字)"/>
    <w:basedOn w:val="10"/>
    <w:next w:val="20"/>
    <w:link w:val="19"/>
    <w:uiPriority w:val="0"/>
    <w:rPr>
      <w:kern w:val="0"/>
      <w:sz w:val="22"/>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List Paragraph"/>
    <w:basedOn w:val="0"/>
    <w:next w:val="23"/>
    <w:link w:val="0"/>
    <w:uiPriority w:val="0"/>
    <w:qFormat/>
    <w:pPr>
      <w:ind w:left="840" w:leftChars="400"/>
    </w:pPr>
  </w:style>
  <w:style w:type="paragraph" w:styleId="24">
    <w:name w:val="Date"/>
    <w:basedOn w:val="0"/>
    <w:next w:val="0"/>
    <w:link w:val="25"/>
    <w:uiPriority w:val="0"/>
  </w:style>
  <w:style w:type="character" w:styleId="25" w:customStyle="1">
    <w:name w:val="日付 (文字)"/>
    <w:basedOn w:val="10"/>
    <w:next w:val="25"/>
    <w:link w:val="24"/>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character" w:styleId="28">
    <w:name w:val="page number"/>
    <w:basedOn w:val="10"/>
    <w:next w:val="28"/>
    <w:link w:val="0"/>
    <w:uiPriority w:val="0"/>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7700</TotalTime>
  <Pages>5</Pages>
  <Words>0</Words>
  <Characters>3050</Characters>
  <Application>JUST Note</Application>
  <Lines>162</Lines>
  <Paragraphs>75</Paragraphs>
  <Company>Toshiba</Company>
  <CharactersWithSpaces>3103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kaonreon</dc:creator>
  <cp:lastModifiedBy>sugawara6251</cp:lastModifiedBy>
  <cp:lastPrinted>2021-07-06T04:50:36Z</cp:lastPrinted>
  <dcterms:created xsi:type="dcterms:W3CDTF">2018-05-09T04:19:00Z</dcterms:created>
  <dcterms:modified xsi:type="dcterms:W3CDTF">2026-07-03T01:52:52Z</dcterms:modified>
  <cp:revision>238</cp:revision>
</cp:coreProperties>
</file>