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令和２年度から使用する小学校用教科用図書</w:t>
      </w:r>
    </w:p>
    <w:p>
      <w:pPr>
        <w:pStyle w:val="0"/>
        <w:ind w:right="220"/>
        <w:jc w:val="center"/>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2"/>
        </w:rPr>
        <w:t>登別市教育委員会　　採択結果</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7"/>
        <w:gridCol w:w="1435"/>
        <w:gridCol w:w="6945"/>
      </w:tblGrid>
      <w:tr>
        <w:trPr>
          <w:trHeight w:val="300" w:hRule="atLeast"/>
        </w:trPr>
        <w:tc>
          <w:tcPr>
            <w:tcW w:w="13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種　目</w:t>
            </w:r>
          </w:p>
        </w:tc>
        <w:tc>
          <w:tcPr>
            <w:tcW w:w="143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発　行　者</w:t>
            </w:r>
          </w:p>
        </w:tc>
        <w:tc>
          <w:tcPr>
            <w:tcW w:w="694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採　　</w:t>
            </w:r>
            <w:bookmarkStart w:id="0" w:name="_GoBack"/>
            <w:bookmarkEnd w:id="0"/>
            <w:r>
              <w:rPr>
                <w:rFonts w:hint="eastAsia" w:ascii="ＭＳ ゴシック" w:hAnsi="ＭＳ ゴシック" w:eastAsia="ＭＳ ゴシック"/>
                <w:sz w:val="20"/>
              </w:rPr>
              <w:t>択　　理　　　由</w:t>
            </w:r>
          </w:p>
        </w:tc>
      </w:tr>
      <w:tr>
        <w:trPr>
          <w:trHeight w:val="243" w:hRule="atLeast"/>
        </w:trPr>
        <w:tc>
          <w:tcPr>
            <w:tcW w:w="1367"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国　語</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94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・題材に入る前に、学習の目標とこれまでの学習と関連する既習の題材が明</w:t>
            </w:r>
          </w:p>
          <w:p>
            <w:pPr>
              <w:pStyle w:val="0"/>
              <w:tabs>
                <w:tab w:val="left" w:leader="none" w:pos="9070"/>
              </w:tabs>
              <w:ind w:left="210" w:leftChars="100"/>
              <w:jc w:val="left"/>
              <w:rPr>
                <w:rFonts w:hint="default" w:asciiTheme="majorEastAsia" w:hAnsiTheme="majorEastAsia" w:eastAsiaTheme="majorEastAsia"/>
                <w:color w:val="FF0000"/>
                <w:sz w:val="20"/>
              </w:rPr>
            </w:pPr>
            <w:r>
              <w:rPr>
                <w:rFonts w:hint="eastAsia" w:asciiTheme="majorEastAsia" w:hAnsiTheme="majorEastAsia" w:eastAsiaTheme="majorEastAsia"/>
                <w:sz w:val="20"/>
              </w:rPr>
              <w:t>記され、また、題材の後には、学習課程が一目で分かるように記載されている手引きがあり、考えや思いを伝え合う活動が必ず盛り込ま</w:t>
            </w:r>
            <w:r>
              <w:rPr>
                <w:rFonts w:hint="eastAsia" w:asciiTheme="majorEastAsia" w:hAnsiTheme="majorEastAsia" w:eastAsiaTheme="majorEastAsia"/>
                <w:color w:val="000000" w:themeColor="text1"/>
                <w:sz w:val="20"/>
              </w:rPr>
              <w:t>れている。</w:t>
            </w: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書　写</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・学習過程を分かりやすく示し掲載したり、教材ごとに学習内容についての</w:t>
            </w:r>
          </w:p>
          <w:p>
            <w:pPr>
              <w:pStyle w:val="0"/>
              <w:tabs>
                <w:tab w:val="left" w:leader="none" w:pos="9070"/>
              </w:tabs>
              <w:ind w:left="210" w:leftChars="100"/>
              <w:jc w:val="left"/>
              <w:rPr>
                <w:rFonts w:hint="default" w:asciiTheme="majorEastAsia" w:hAnsiTheme="majorEastAsia" w:eastAsiaTheme="majorEastAsia"/>
                <w:sz w:val="20"/>
              </w:rPr>
            </w:pPr>
            <w:r>
              <w:rPr>
                <w:rFonts w:hint="eastAsia" w:asciiTheme="majorEastAsia" w:hAnsiTheme="majorEastAsia" w:eastAsiaTheme="majorEastAsia"/>
                <w:sz w:val="20"/>
              </w:rPr>
              <w:t>自己評価欄を設けたりするなど、児童が主体的に取組むことができる工夫がなされている。</w:t>
            </w:r>
          </w:p>
        </w:tc>
      </w:tr>
      <w:tr>
        <w:trPr>
          <w:trHeight w:val="19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社　会</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80" w:firstLineChars="50"/>
              <w:rPr>
                <w:rFonts w:hint="default" w:ascii="ＭＳ ゴシック" w:hAnsi="ＭＳ ゴシック" w:eastAsia="ＭＳ ゴシック"/>
                <w:sz w:val="16"/>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・自然災害にかかわる学習において、北海道の地域特性を考慮した内容を取</w:t>
            </w:r>
          </w:p>
          <w:p>
            <w:pPr>
              <w:pStyle w:val="0"/>
              <w:tabs>
                <w:tab w:val="left" w:leader="none" w:pos="9070"/>
              </w:tabs>
              <w:ind w:right="-108" w:firstLine="200" w:firstLineChars="100"/>
              <w:jc w:val="left"/>
              <w:rPr>
                <w:rFonts w:hint="default" w:asciiTheme="majorEastAsia" w:hAnsiTheme="majorEastAsia" w:eastAsiaTheme="majorEastAsia"/>
                <w:sz w:val="20"/>
              </w:rPr>
            </w:pPr>
            <w:r>
              <w:rPr>
                <w:rFonts w:hint="eastAsia" w:asciiTheme="majorEastAsia" w:hAnsiTheme="majorEastAsia" w:eastAsiaTheme="majorEastAsia"/>
                <w:sz w:val="20"/>
              </w:rPr>
              <w:t>り上げるなど、児童の学習意欲を高める工夫がなされている。</w:t>
            </w:r>
          </w:p>
          <w:p>
            <w:pPr>
              <w:pStyle w:val="0"/>
              <w:spacing w:line="0" w:lineRule="atLeast"/>
              <w:ind w:left="200" w:hanging="200" w:hangingChars="100"/>
              <w:rPr>
                <w:rFonts w:hint="default" w:asciiTheme="majorEastAsia" w:hAnsiTheme="majorEastAsia" w:eastAsiaTheme="majorEastAsia"/>
                <w:sz w:val="20"/>
              </w:rPr>
            </w:pP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地　図</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帝国書院</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・国内における北海道の位置関係、北海道全体の地形や主な産業、交通網の様子などを掲載し、北海道の地域特性を考慮した内容を取り上げるなど、児童の学習意欲を高める工夫がなされている。</w:t>
            </w:r>
          </w:p>
        </w:tc>
      </w:tr>
      <w:tr>
        <w:trPr>
          <w:trHeight w:val="27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算　数</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新興出版社</w:t>
            </w:r>
          </w:p>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kern w:val="0"/>
                <w:sz w:val="20"/>
              </w:rPr>
              <w:t>啓林館</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・基礎、基本の定着を図る学習活動や自主的に取組むことができる内容を掲</w:t>
            </w:r>
          </w:p>
          <w:p>
            <w:pPr>
              <w:pStyle w:val="0"/>
              <w:tabs>
                <w:tab w:val="left" w:leader="none" w:pos="9070"/>
              </w:tabs>
              <w:ind w:right="-108" w:firstLine="200" w:firstLineChars="100"/>
              <w:jc w:val="left"/>
              <w:rPr>
                <w:rFonts w:hint="default" w:asciiTheme="majorEastAsia" w:hAnsiTheme="majorEastAsia" w:eastAsiaTheme="majorEastAsia"/>
                <w:sz w:val="20"/>
              </w:rPr>
            </w:pPr>
            <w:r>
              <w:rPr>
                <w:rFonts w:hint="eastAsia" w:asciiTheme="majorEastAsia" w:hAnsiTheme="majorEastAsia" w:eastAsiaTheme="majorEastAsia"/>
                <w:sz w:val="20"/>
              </w:rPr>
              <w:t>載するなど、児童の学習意欲を高める工夫がなされている。</w:t>
            </w:r>
          </w:p>
          <w:p>
            <w:pPr>
              <w:pStyle w:val="0"/>
              <w:spacing w:line="0" w:lineRule="atLeast"/>
              <w:ind w:left="200" w:hanging="200" w:hangingChars="100"/>
              <w:rPr>
                <w:rFonts w:hint="default" w:asciiTheme="majorEastAsia" w:hAnsiTheme="majorEastAsia" w:eastAsiaTheme="majorEastAsia"/>
                <w:sz w:val="20"/>
              </w:rPr>
            </w:pP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理　科</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Theme="majorEastAsia" w:hAnsiTheme="majorEastAsia" w:eastAsiaTheme="majorEastAsia"/>
                <w:sz w:val="20"/>
              </w:rPr>
            </w:pPr>
            <w:r>
              <w:rPr>
                <w:rFonts w:hint="eastAsia" w:asciiTheme="majorEastAsia" w:hAnsiTheme="majorEastAsia" w:eastAsiaTheme="majorEastAsia"/>
                <w:sz w:val="20"/>
              </w:rPr>
              <w:t>・学習課題を設定し見通しを持たせるとともに、考えを広げたり深めたりす</w:t>
            </w:r>
          </w:p>
          <w:p>
            <w:pPr>
              <w:pStyle w:val="0"/>
              <w:spacing w:line="0" w:lineRule="atLeast"/>
              <w:ind w:left="210" w:leftChars="100"/>
              <w:rPr>
                <w:rFonts w:hint="default" w:asciiTheme="majorEastAsia" w:hAnsiTheme="majorEastAsia" w:eastAsiaTheme="majorEastAsia"/>
                <w:sz w:val="20"/>
              </w:rPr>
            </w:pPr>
            <w:r>
              <w:rPr>
                <w:rFonts w:hint="eastAsia" w:asciiTheme="majorEastAsia" w:hAnsiTheme="majorEastAsia" w:eastAsiaTheme="majorEastAsia"/>
                <w:sz w:val="20"/>
              </w:rPr>
              <w:t>る活動が取り上げられるなど、子どもたちが主体的・対話的に学びに向かうことができるよう工夫がなされている。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生　活</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・学習課題を設定し、見通しをもたせるとともに、プログラミング的思考能</w:t>
            </w:r>
          </w:p>
          <w:p>
            <w:pPr>
              <w:pStyle w:val="0"/>
              <w:tabs>
                <w:tab w:val="left" w:leader="none" w:pos="9070"/>
              </w:tabs>
              <w:ind w:right="-108" w:firstLine="200" w:firstLineChars="100"/>
              <w:jc w:val="left"/>
              <w:rPr>
                <w:rFonts w:hint="default" w:asciiTheme="majorEastAsia" w:hAnsiTheme="majorEastAsia" w:eastAsiaTheme="majorEastAsia"/>
                <w:sz w:val="20"/>
              </w:rPr>
            </w:pPr>
            <w:r>
              <w:rPr>
                <w:rFonts w:hint="eastAsia" w:asciiTheme="majorEastAsia" w:hAnsiTheme="majorEastAsia" w:eastAsiaTheme="majorEastAsia"/>
                <w:sz w:val="20"/>
              </w:rPr>
              <w:t>力を育成する工夫がなされている。</w:t>
            </w:r>
          </w:p>
          <w:p>
            <w:pPr>
              <w:pStyle w:val="0"/>
              <w:spacing w:line="0" w:lineRule="atLeast"/>
              <w:ind w:left="200" w:hanging="200" w:hangingChars="100"/>
              <w:rPr>
                <w:rFonts w:hint="default" w:asciiTheme="majorEastAsia" w:hAnsiTheme="majorEastAsia" w:eastAsiaTheme="majorEastAsia"/>
                <w:sz w:val="20"/>
              </w:rPr>
            </w:pPr>
          </w:p>
        </w:tc>
      </w:tr>
      <w:tr>
        <w:trPr>
          <w:trHeight w:val="826"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音　楽</w:t>
            </w: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教育出版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・教材曲や学習活動に則した解説を示したり、北海道に関わりのある民謡を</w:t>
            </w:r>
          </w:p>
          <w:p>
            <w:pPr>
              <w:pStyle w:val="0"/>
              <w:tabs>
                <w:tab w:val="left" w:leader="none" w:pos="9070"/>
              </w:tabs>
              <w:ind w:right="-108" w:firstLine="200" w:firstLineChars="100"/>
              <w:jc w:val="left"/>
              <w:rPr>
                <w:rFonts w:hint="default" w:asciiTheme="majorEastAsia" w:hAnsiTheme="majorEastAsia" w:eastAsiaTheme="majorEastAsia"/>
                <w:sz w:val="20"/>
              </w:rPr>
            </w:pPr>
            <w:r>
              <w:rPr>
                <w:rFonts w:hint="eastAsia" w:asciiTheme="majorEastAsia" w:hAnsiTheme="majorEastAsia" w:eastAsiaTheme="majorEastAsia"/>
                <w:sz w:val="20"/>
              </w:rPr>
              <w:t>取り上げるなど、児童の学習意欲を高める工夫がなされている。</w:t>
            </w:r>
          </w:p>
          <w:p>
            <w:pPr>
              <w:pStyle w:val="0"/>
              <w:spacing w:line="0" w:lineRule="atLeast"/>
              <w:ind w:left="200" w:hanging="200" w:hangingChars="100"/>
              <w:rPr>
                <w:rFonts w:hint="default" w:asciiTheme="majorEastAsia" w:hAnsiTheme="majorEastAsia" w:eastAsiaTheme="majorEastAsia"/>
                <w:sz w:val="20"/>
              </w:rPr>
            </w:pPr>
          </w:p>
        </w:tc>
      </w:tr>
      <w:tr>
        <w:trPr>
          <w:trHeight w:val="24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図画工作</w:t>
            </w:r>
          </w:p>
          <w:p>
            <w:pPr>
              <w:pStyle w:val="0"/>
              <w:spacing w:line="0" w:lineRule="atLeast"/>
              <w:ind w:firstLine="100" w:firstLineChars="50"/>
              <w:jc w:val="center"/>
              <w:rPr>
                <w:rFonts w:hint="default" w:ascii="ＭＳ ゴシック" w:hAnsi="ＭＳ ゴシック" w:eastAsia="ＭＳ ゴシック"/>
                <w:sz w:val="20"/>
              </w:rPr>
            </w:pPr>
          </w:p>
          <w:p>
            <w:pPr>
              <w:pStyle w:val="0"/>
              <w:spacing w:line="0" w:lineRule="atLeast"/>
              <w:ind w:firstLine="100" w:firstLineChars="50"/>
              <w:jc w:val="center"/>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日本文教出版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rPr>
                <w:rFonts w:hint="default" w:asciiTheme="majorEastAsia" w:hAnsiTheme="majorEastAsia" w:eastAsiaTheme="majorEastAsia"/>
                <w:sz w:val="20"/>
              </w:rPr>
            </w:pPr>
            <w:r>
              <w:rPr>
                <w:rFonts w:hint="eastAsia" w:asciiTheme="majorEastAsia" w:hAnsiTheme="majorEastAsia" w:eastAsiaTheme="majorEastAsia"/>
                <w:sz w:val="20"/>
              </w:rPr>
              <w:t>・児童の学習意欲を高めるため、児童が実際に手や足を動かし試しながら発</w:t>
            </w:r>
          </w:p>
          <w:p>
            <w:pPr>
              <w:pStyle w:val="0"/>
              <w:spacing w:line="0" w:lineRule="atLeast"/>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想を広げることができるなどの工夫がなされている。</w:t>
            </w:r>
          </w:p>
        </w:tc>
      </w:tr>
      <w:tr>
        <w:trPr>
          <w:trHeight w:val="330"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100" w:firstLineChars="50"/>
              <w:jc w:val="center"/>
              <w:rPr>
                <w:rFonts w:hint="default" w:ascii="ＭＳ ゴシック" w:hAnsi="ＭＳ ゴシック" w:eastAsia="ＭＳ ゴシック"/>
                <w:sz w:val="20"/>
              </w:rPr>
            </w:pPr>
            <w:r>
              <w:rPr>
                <w:rFonts w:hint="eastAsia" w:ascii="ＭＳ ゴシック" w:hAnsi="ＭＳ ゴシック" w:eastAsia="ＭＳ ゴシック"/>
                <w:sz w:val="20"/>
              </w:rPr>
              <w:t>家　庭</w:t>
            </w:r>
          </w:p>
          <w:p>
            <w:pPr>
              <w:pStyle w:val="0"/>
              <w:spacing w:line="0" w:lineRule="atLeast"/>
              <w:ind w:firstLine="100" w:firstLineChars="50"/>
              <w:rPr>
                <w:rFonts w:hint="default" w:ascii="ＭＳ ゴシック" w:hAnsi="ＭＳ ゴシック" w:eastAsia="ＭＳ ゴシック"/>
                <w:sz w:val="20"/>
              </w:rPr>
            </w:pPr>
          </w:p>
          <w:p>
            <w:pPr>
              <w:pStyle w:val="0"/>
              <w:spacing w:line="0" w:lineRule="atLeast"/>
              <w:ind w:firstLine="100" w:firstLineChars="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・生活のさまざまな場面を想起することができることや家庭学習へつなげた</w:t>
            </w:r>
          </w:p>
          <w:p>
            <w:pPr>
              <w:pStyle w:val="0"/>
              <w:tabs>
                <w:tab w:val="left" w:leader="none" w:pos="9070"/>
              </w:tabs>
              <w:ind w:left="210" w:leftChars="100"/>
              <w:jc w:val="left"/>
              <w:rPr>
                <w:rFonts w:hint="default" w:asciiTheme="majorEastAsia" w:hAnsiTheme="majorEastAsia" w:eastAsiaTheme="majorEastAsia"/>
                <w:sz w:val="20"/>
              </w:rPr>
            </w:pPr>
            <w:r>
              <w:rPr>
                <w:rFonts w:hint="eastAsia" w:asciiTheme="majorEastAsia" w:hAnsiTheme="majorEastAsia" w:eastAsiaTheme="majorEastAsia"/>
                <w:sz w:val="20"/>
              </w:rPr>
              <w:t>りすることができる内容の掲載がされており、児童が主体的に学習に取り組むことができる工夫がなされている。</w:t>
            </w:r>
          </w:p>
        </w:tc>
      </w:tr>
      <w:tr>
        <w:trPr>
          <w:trHeight w:val="31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保　健</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東京書籍</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・身に付けた正しい知識を身につけさせることにより日常でも役立てるなど、学習意欲や関心を高めるための工夫がなされている。</w:t>
            </w:r>
          </w:p>
        </w:tc>
      </w:tr>
      <w:tr>
        <w:trPr>
          <w:trHeight w:val="225" w:hRule="atLeast"/>
        </w:trPr>
        <w:tc>
          <w:tcPr>
            <w:tcW w:w="1367"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英　語</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開隆堂出版</w:t>
            </w:r>
          </w:p>
        </w:tc>
        <w:tc>
          <w:tcPr>
            <w:tcW w:w="69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・中学校への系統的・発展的な学習が期待できること。</w:t>
            </w:r>
          </w:p>
          <w:p>
            <w:pPr>
              <w:pStyle w:val="0"/>
              <w:spacing w:line="0" w:lineRule="atLeast"/>
              <w:ind w:left="200" w:hanging="200" w:hangingChars="100"/>
              <w:rPr>
                <w:rFonts w:hint="default" w:asciiTheme="majorEastAsia" w:hAnsiTheme="majorEastAsia" w:eastAsiaTheme="majorEastAsia"/>
                <w:sz w:val="20"/>
              </w:rPr>
            </w:pPr>
            <w:r>
              <w:rPr>
                <w:rFonts w:hint="eastAsia" w:asciiTheme="majorEastAsia" w:hAnsiTheme="majorEastAsia" w:eastAsiaTheme="majorEastAsia"/>
                <w:sz w:val="20"/>
              </w:rPr>
              <w:t>　ペアやグループ活動によるコミュニケーションを図る機会を設けたりするなど、児童の学習意欲を高める工夫がなされている。</w:t>
            </w:r>
          </w:p>
        </w:tc>
      </w:tr>
      <w:tr>
        <w:trPr>
          <w:trHeight w:val="285" w:hRule="atLeast"/>
        </w:trPr>
        <w:tc>
          <w:tcPr>
            <w:tcW w:w="1367"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ind w:firstLine="300" w:firstLineChars="150"/>
              <w:rPr>
                <w:rFonts w:hint="default" w:ascii="ＭＳ ゴシック" w:hAnsi="ＭＳ ゴシック" w:eastAsia="ＭＳ ゴシック"/>
                <w:sz w:val="20"/>
              </w:rPr>
            </w:pPr>
            <w:r>
              <w:rPr>
                <w:rFonts w:hint="eastAsia" w:ascii="ＭＳ ゴシック" w:hAnsi="ＭＳ ゴシック" w:eastAsia="ＭＳ ゴシック"/>
                <w:sz w:val="20"/>
              </w:rPr>
              <w:t>道　徳</w:t>
            </w:r>
          </w:p>
          <w:p>
            <w:pPr>
              <w:pStyle w:val="0"/>
              <w:spacing w:line="0" w:lineRule="atLeast"/>
              <w:ind w:firstLine="300" w:firstLineChars="150"/>
              <w:rPr>
                <w:rFonts w:hint="default" w:ascii="ＭＳ ゴシック" w:hAnsi="ＭＳ ゴシック" w:eastAsia="ＭＳ ゴシック"/>
                <w:sz w:val="20"/>
              </w:rPr>
            </w:pPr>
          </w:p>
          <w:p>
            <w:pPr>
              <w:pStyle w:val="0"/>
              <w:spacing w:line="0" w:lineRule="atLeast"/>
              <w:ind w:firstLine="300" w:firstLineChars="150"/>
              <w:rPr>
                <w:rFonts w:hint="default" w:ascii="ＭＳ ゴシック" w:hAnsi="ＭＳ ゴシック" w:eastAsia="ＭＳ ゴシック"/>
                <w:sz w:val="20"/>
              </w:rPr>
            </w:pPr>
          </w:p>
        </w:tc>
        <w:tc>
          <w:tcPr>
            <w:tcW w:w="143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光村図書出版</w:t>
            </w:r>
          </w:p>
        </w:tc>
        <w:tc>
          <w:tcPr>
            <w:tcW w:w="694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tabs>
                <w:tab w:val="left" w:leader="none" w:pos="9070"/>
              </w:tabs>
              <w:jc w:val="left"/>
              <w:rPr>
                <w:rFonts w:hint="default" w:asciiTheme="majorEastAsia" w:hAnsiTheme="majorEastAsia" w:eastAsiaTheme="majorEastAsia"/>
                <w:sz w:val="20"/>
              </w:rPr>
            </w:pPr>
            <w:r>
              <w:rPr>
                <w:rFonts w:hint="eastAsia" w:asciiTheme="majorEastAsia" w:hAnsiTheme="majorEastAsia" w:eastAsiaTheme="majorEastAsia"/>
                <w:sz w:val="20"/>
              </w:rPr>
              <w:t>・導入における発問により、主体的に考え、話し合う、また、学習を次につ</w:t>
            </w:r>
          </w:p>
          <w:p>
            <w:pPr>
              <w:pStyle w:val="0"/>
              <w:tabs>
                <w:tab w:val="left" w:leader="none" w:pos="9070"/>
              </w:tabs>
              <w:ind w:left="210" w:leftChars="100"/>
              <w:jc w:val="left"/>
              <w:rPr>
                <w:rFonts w:hint="default" w:asciiTheme="majorEastAsia" w:hAnsiTheme="majorEastAsia" w:eastAsiaTheme="majorEastAsia"/>
                <w:sz w:val="20"/>
              </w:rPr>
            </w:pPr>
            <w:r>
              <w:rPr>
                <w:rFonts w:hint="eastAsia" w:asciiTheme="majorEastAsia" w:hAnsiTheme="majorEastAsia" w:eastAsiaTheme="majorEastAsia"/>
                <w:sz w:val="20"/>
              </w:rPr>
              <w:t>なげるなど、児童が主体的に学習に取り組むことができる工夫がなされている。</w:t>
            </w:r>
          </w:p>
        </w:tc>
      </w:tr>
    </w:tbl>
    <w:p>
      <w:pPr>
        <w:pStyle w:val="0"/>
        <w:rPr>
          <w:rFonts w:hint="default"/>
        </w:rPr>
      </w:pPr>
    </w:p>
    <w:sectPr>
      <w:pgSz w:w="11906" w:h="16838"/>
      <w:pgMar w:top="1134" w:right="1134" w:bottom="85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1074</Characters>
  <Application>JUST Note</Application>
  <Lines>93</Lines>
  <Paragraphs>56</Paragraphs>
  <Company>Microsoft</Company>
  <CharactersWithSpaces>1099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j051206</dc:creator>
  <cp:lastModifiedBy>山田 奈央子</cp:lastModifiedBy>
  <cp:lastPrinted>2019-08-15T01:33:00Z</cp:lastPrinted>
  <dcterms:created xsi:type="dcterms:W3CDTF">2019-08-14T02:57:00Z</dcterms:created>
  <dcterms:modified xsi:type="dcterms:W3CDTF">2019-11-18T10:25:34Z</dcterms:modified>
  <cp:revision>36</cp:revision>
</cp:coreProperties>
</file>