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2"/>
          <w:kern w:val="0"/>
          <w:sz w:val="22"/>
        </w:rPr>
        <w:t>令和２年度に使用する中学校用教科用図書</w:t>
      </w:r>
    </w:p>
    <w:p>
      <w:pPr>
        <w:pStyle w:val="0"/>
        <w:ind w:right="220"/>
        <w:jc w:val="center"/>
        <w:rPr>
          <w:rFonts w:hint="default"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2"/>
          <w:kern w:val="0"/>
          <w:sz w:val="22"/>
        </w:rPr>
        <w:t>登別市教育委員会　採択結果</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7"/>
        <w:gridCol w:w="1495"/>
        <w:gridCol w:w="6885"/>
      </w:tblGrid>
      <w:tr>
        <w:trPr>
          <w:trHeight w:val="300" w:hRule="atLeast"/>
        </w:trPr>
        <w:tc>
          <w:tcPr>
            <w:tcW w:w="13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種　目</w:t>
            </w:r>
          </w:p>
        </w:tc>
        <w:tc>
          <w:tcPr>
            <w:tcW w:w="1495"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発　行　者</w:t>
            </w:r>
          </w:p>
        </w:tc>
        <w:tc>
          <w:tcPr>
            <w:tcW w:w="688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採　　択　　</w:t>
            </w:r>
            <w:bookmarkStart w:id="0" w:name="_GoBack"/>
            <w:bookmarkEnd w:id="0"/>
            <w:r>
              <w:rPr>
                <w:rFonts w:hint="eastAsia" w:ascii="ＭＳ ゴシック" w:hAnsi="ＭＳ ゴシック" w:eastAsia="ＭＳ ゴシック"/>
                <w:sz w:val="20"/>
              </w:rPr>
              <w:t>理　　　由</w:t>
            </w:r>
          </w:p>
        </w:tc>
      </w:tr>
      <w:tr>
        <w:trPr>
          <w:trHeight w:val="243" w:hRule="atLeast"/>
        </w:trPr>
        <w:tc>
          <w:tcPr>
            <w:tcW w:w="1367"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国　語</w:t>
            </w:r>
          </w:p>
        </w:tc>
        <w:tc>
          <w:tcPr>
            <w:tcW w:w="14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光村図書出版</w:t>
            </w:r>
          </w:p>
        </w:tc>
        <w:tc>
          <w:tcPr>
            <w:tcW w:w="6885"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rPr>
                <w:rFonts w:hint="default" w:ascii="ＭＳ ゴシック" w:hAnsi="ＭＳ ゴシック" w:eastAsia="ＭＳ ゴシック"/>
                <w:sz w:val="20"/>
              </w:rPr>
            </w:pPr>
            <w:r>
              <w:rPr>
                <w:rFonts w:hint="eastAsia" w:ascii="ＭＳ ゴシック" w:hAnsi="ＭＳ ゴシック" w:eastAsia="ＭＳ ゴシック"/>
                <w:sz w:val="20"/>
              </w:rPr>
              <w:t>・小学校との</w:t>
            </w:r>
            <w:r>
              <w:rPr>
                <w:rFonts w:hint="default" w:ascii="ＭＳ ゴシック" w:hAnsi="ＭＳ ゴシック" w:eastAsia="ＭＳ ゴシック"/>
                <w:sz w:val="20"/>
              </w:rPr>
              <w:t>接続</w:t>
            </w:r>
            <w:r>
              <w:rPr>
                <w:rFonts w:hint="eastAsia" w:ascii="ＭＳ ゴシック" w:hAnsi="ＭＳ ゴシック" w:eastAsia="ＭＳ ゴシック"/>
                <w:sz w:val="20"/>
              </w:rPr>
              <w:t>を</w:t>
            </w:r>
            <w:r>
              <w:rPr>
                <w:rFonts w:hint="default" w:ascii="ＭＳ ゴシック" w:hAnsi="ＭＳ ゴシック" w:eastAsia="ＭＳ ゴシック"/>
                <w:sz w:val="20"/>
              </w:rPr>
              <w:t>考えると生徒が学習しやすい。</w:t>
            </w:r>
          </w:p>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・生徒が学びを確かめたり、見通しをもって学習を進めたりできるようになっている。</w:t>
            </w:r>
          </w:p>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・「学習の窓」で学習したことを振り返るなど、主体的に学習できる工夫がされている。</w:t>
            </w:r>
          </w:p>
        </w:tc>
      </w:tr>
      <w:tr>
        <w:trPr>
          <w:trHeight w:val="24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書　写</w:t>
            </w:r>
          </w:p>
        </w:tc>
        <w:tc>
          <w:tcPr>
            <w:tcW w:w="1495" w:type="dxa"/>
            <w:shd w:val="clear" w:color="auto" w:fill="auto"/>
            <w:vAlign w:val="top"/>
          </w:tcPr>
          <w:p>
            <w:pPr>
              <w:pStyle w:val="0"/>
              <w:spacing w:line="0" w:lineRule="atLeast"/>
              <w:ind w:left="-164" w:leftChars="-78"/>
              <w:jc w:val="center"/>
              <w:rPr>
                <w:rFonts w:hint="default" w:ascii="ＭＳ ゴシック" w:hAnsi="ＭＳ ゴシック" w:eastAsia="ＭＳ ゴシック"/>
                <w:sz w:val="20"/>
              </w:rPr>
            </w:pPr>
            <w:r>
              <w:rPr>
                <w:rFonts w:hint="eastAsia" w:ascii="ＭＳ ゴシック" w:hAnsi="ＭＳ ゴシック" w:eastAsia="ＭＳ ゴシック"/>
                <w:sz w:val="20"/>
              </w:rPr>
              <w:t>光村図書出版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・国語との関連を図った指導が行いやすい。</w:t>
            </w:r>
          </w:p>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・単元ごとの学習の見通しがもてるように工夫されている。</w:t>
            </w:r>
          </w:p>
        </w:tc>
      </w:tr>
      <w:tr>
        <w:trPr>
          <w:trHeight w:val="19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社　会</w:t>
            </w:r>
          </w:p>
          <w:p>
            <w:pPr>
              <w:pStyle w:val="0"/>
              <w:spacing w:line="0" w:lineRule="atLeast"/>
              <w:ind w:firstLine="80" w:firstLineChars="50"/>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地理的分野</w:t>
            </w:r>
            <w:r>
              <w:rPr>
                <w:rFonts w:hint="eastAsia" w:ascii="ＭＳ ゴシック" w:hAnsi="ＭＳ ゴシック" w:eastAsia="ＭＳ ゴシック"/>
                <w:sz w:val="16"/>
              </w:rPr>
              <w:t>)</w:t>
            </w:r>
          </w:p>
        </w:tc>
        <w:tc>
          <w:tcPr>
            <w:tcW w:w="1495" w:type="dxa"/>
            <w:shd w:val="clear" w:color="auto" w:fill="auto"/>
            <w:vAlign w:val="top"/>
          </w:tcPr>
          <w:p>
            <w:pPr>
              <w:pStyle w:val="0"/>
              <w:spacing w:line="0" w:lineRule="atLeas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教育出版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・北方領土や竹島、尖閣諸島など、我が国固有の領土を理解させる記述が充実している</w:t>
            </w:r>
            <w:r>
              <w:rPr>
                <w:rFonts w:hint="default" w:ascii="ＭＳ ゴシック" w:hAnsi="ＭＳ ゴシック" w:eastAsia="ＭＳ ゴシック"/>
                <w:sz w:val="20"/>
              </w:rPr>
              <w:t>。</w:t>
            </w:r>
          </w:p>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・アイヌ民族の歴史や文化を理解しやすい</w:t>
            </w:r>
            <w:r>
              <w:rPr>
                <w:rFonts w:hint="default" w:ascii="ＭＳ ゴシック" w:hAnsi="ＭＳ ゴシック" w:eastAsia="ＭＳ ゴシック"/>
                <w:sz w:val="20"/>
              </w:rPr>
              <w:t>内容となっている</w:t>
            </w:r>
            <w:r>
              <w:rPr>
                <w:rFonts w:hint="eastAsia" w:ascii="ＭＳ ゴシック" w:hAnsi="ＭＳ ゴシック" w:eastAsia="ＭＳ ゴシック"/>
                <w:sz w:val="20"/>
              </w:rPr>
              <w:t>。</w:t>
            </w:r>
          </w:p>
        </w:tc>
      </w:tr>
      <w:tr>
        <w:trPr>
          <w:trHeight w:val="24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地　図</w:t>
            </w:r>
          </w:p>
        </w:tc>
        <w:tc>
          <w:tcPr>
            <w:tcW w:w="1495" w:type="dxa"/>
            <w:shd w:val="clear" w:color="auto" w:fill="auto"/>
            <w:vAlign w:val="top"/>
          </w:tcPr>
          <w:p>
            <w:pPr>
              <w:pStyle w:val="0"/>
              <w:spacing w:line="0" w:lineRule="atLeas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帝国書院</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・アイヌ語に由来する地名の資料を</w:t>
            </w:r>
            <w:r>
              <w:rPr>
                <w:rFonts w:hint="default" w:ascii="ＭＳ ゴシック" w:hAnsi="ＭＳ ゴシック" w:eastAsia="ＭＳ ゴシック"/>
                <w:sz w:val="20"/>
              </w:rPr>
              <w:t>掲載するなど</w:t>
            </w:r>
            <w:r>
              <w:rPr>
                <w:rFonts w:hint="eastAsia" w:ascii="ＭＳ ゴシック" w:hAnsi="ＭＳ ゴシック" w:eastAsia="ＭＳ ゴシック"/>
                <w:sz w:val="20"/>
              </w:rPr>
              <w:t>、北海道に対する興味・関心を高める資料が充実している。</w:t>
            </w:r>
          </w:p>
          <w:p>
            <w:pPr>
              <w:pStyle w:val="0"/>
              <w:spacing w:line="0" w:lineRule="atLeast"/>
              <w:rPr>
                <w:rFonts w:hint="default" w:ascii="ＭＳ ゴシック" w:hAnsi="ＭＳ ゴシック" w:eastAsia="ＭＳ ゴシック"/>
                <w:sz w:val="20"/>
              </w:rPr>
            </w:pPr>
            <w:r>
              <w:rPr>
                <w:rFonts w:hint="eastAsia" w:ascii="ＭＳ ゴシック" w:hAnsi="ＭＳ ゴシック" w:eastAsia="ＭＳ ゴシック"/>
                <w:sz w:val="20"/>
              </w:rPr>
              <w:t>・公民や歴史の学習にも活用できるよう、工夫されている。</w:t>
            </w:r>
          </w:p>
        </w:tc>
      </w:tr>
      <w:tr>
        <w:trPr>
          <w:trHeight w:val="27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社　会</w:t>
            </w:r>
          </w:p>
          <w:p>
            <w:pPr>
              <w:pStyle w:val="0"/>
              <w:spacing w:line="0" w:lineRule="atLeast"/>
              <w:ind w:firstLine="80" w:firstLineChars="50"/>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歴史的分野</w:t>
            </w:r>
            <w:r>
              <w:rPr>
                <w:rFonts w:hint="eastAsia" w:ascii="ＭＳ ゴシック" w:hAnsi="ＭＳ ゴシック" w:eastAsia="ＭＳ ゴシック"/>
                <w:sz w:val="16"/>
              </w:rPr>
              <w:t>)</w:t>
            </w:r>
          </w:p>
        </w:tc>
        <w:tc>
          <w:tcPr>
            <w:tcW w:w="1495" w:type="dxa"/>
            <w:shd w:val="clear" w:color="auto" w:fill="auto"/>
            <w:vAlign w:val="top"/>
          </w:tcPr>
          <w:p>
            <w:pPr>
              <w:pStyle w:val="0"/>
              <w:spacing w:line="0" w:lineRule="atLeas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教育出版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・アイヌの人たちの歴史や文化について「シャクシャイン像」の写真を</w:t>
            </w:r>
            <w:r>
              <w:rPr>
                <w:rFonts w:hint="default" w:ascii="ＭＳ ゴシック" w:hAnsi="ＭＳ ゴシック" w:eastAsia="ＭＳ ゴシック"/>
                <w:sz w:val="20"/>
              </w:rPr>
              <w:t>取り上げたり、</w:t>
            </w:r>
            <w:r>
              <w:rPr>
                <w:rFonts w:hint="eastAsia" w:ascii="ＭＳ ゴシック" w:hAnsi="ＭＳ ゴシック" w:eastAsia="ＭＳ ゴシック"/>
                <w:sz w:val="20"/>
              </w:rPr>
              <w:t>江戸時代末期から明治時代にかけての北海道の開拓の様子を表す写真を取り上げたり</w:t>
            </w:r>
            <w:r>
              <w:rPr>
                <w:rFonts w:hint="default" w:ascii="ＭＳ ゴシック" w:hAnsi="ＭＳ ゴシック" w:eastAsia="ＭＳ ゴシック"/>
                <w:sz w:val="20"/>
              </w:rPr>
              <w:t>す</w:t>
            </w:r>
            <w:r>
              <w:rPr>
                <w:rFonts w:hint="eastAsia" w:ascii="ＭＳ ゴシック" w:hAnsi="ＭＳ ゴシック" w:eastAsia="ＭＳ ゴシック"/>
                <w:sz w:val="20"/>
              </w:rPr>
              <w:t>るなど、学習意欲を高める工夫がされている。</w:t>
            </w:r>
          </w:p>
        </w:tc>
      </w:tr>
      <w:tr>
        <w:trPr>
          <w:trHeight w:val="22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社　会</w:t>
            </w:r>
          </w:p>
          <w:p>
            <w:pPr>
              <w:pStyle w:val="0"/>
              <w:spacing w:line="0" w:lineRule="atLeast"/>
              <w:ind w:firstLine="80" w:firstLineChars="50"/>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公民的分野</w:t>
            </w:r>
            <w:r>
              <w:rPr>
                <w:rFonts w:hint="eastAsia" w:ascii="ＭＳ ゴシック" w:hAnsi="ＭＳ ゴシック" w:eastAsia="ＭＳ ゴシック"/>
                <w:sz w:val="16"/>
              </w:rPr>
              <w:t>)</w:t>
            </w:r>
          </w:p>
        </w:tc>
        <w:tc>
          <w:tcPr>
            <w:tcW w:w="1495" w:type="dxa"/>
            <w:shd w:val="clear" w:color="auto" w:fill="auto"/>
            <w:vAlign w:val="top"/>
          </w:tcPr>
          <w:p>
            <w:pPr>
              <w:pStyle w:val="0"/>
              <w:spacing w:line="0" w:lineRule="atLeas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教育出版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・駒大苫小牧出身の田中将大を掲載し、北海道の事例から、国際社会で主体的に生きることに</w:t>
            </w:r>
            <w:r>
              <w:rPr>
                <w:rFonts w:hint="default" w:ascii="ＭＳ ゴシック" w:hAnsi="ＭＳ ゴシック" w:eastAsia="ＭＳ ゴシック"/>
                <w:sz w:val="20"/>
              </w:rPr>
              <w:t>興味をもつよう工夫されている。</w:t>
            </w:r>
          </w:p>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・「読み解こう」や「公民の窓」を設け、主体的に学習できるよう工夫されている。</w:t>
            </w:r>
          </w:p>
        </w:tc>
      </w:tr>
      <w:tr>
        <w:trPr>
          <w:trHeight w:val="31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数　学</w:t>
            </w:r>
          </w:p>
        </w:tc>
        <w:tc>
          <w:tcPr>
            <w:tcW w:w="1495" w:type="dxa"/>
            <w:shd w:val="clear" w:color="auto" w:fill="auto"/>
            <w:vAlign w:val="top"/>
          </w:tcPr>
          <w:p>
            <w:pPr>
              <w:pStyle w:val="0"/>
              <w:spacing w:line="0" w:lineRule="atLeas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東京書籍</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・学習の定着状況に合わせて選択して取り組むことができる課題を設定するなど、基礎・基本を確実に習得できるよう工夫されている。</w:t>
            </w:r>
          </w:p>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・「数学の窓」で学習内容に関連した話題を掲載するなど、生徒の学習意欲を高めるよう工夫されている。</w:t>
            </w:r>
          </w:p>
        </w:tc>
      </w:tr>
      <w:tr>
        <w:trPr>
          <w:trHeight w:val="826"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理　科</w:t>
            </w:r>
          </w:p>
        </w:tc>
        <w:tc>
          <w:tcPr>
            <w:tcW w:w="1495" w:type="dxa"/>
            <w:shd w:val="clear" w:color="auto" w:fill="auto"/>
            <w:vAlign w:val="top"/>
          </w:tcPr>
          <w:p>
            <w:pPr>
              <w:pStyle w:val="0"/>
              <w:spacing w:line="0" w:lineRule="atLeas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東京書籍</w:t>
            </w:r>
          </w:p>
          <w:p>
            <w:pPr>
              <w:pStyle w:val="0"/>
              <w:spacing w:line="0" w:lineRule="atLeast"/>
              <w:jc w:val="center"/>
              <w:rPr>
                <w:rFonts w:hint="default" w:ascii="ＭＳ ゴシック" w:hAnsi="ＭＳ ゴシック" w:eastAsia="ＭＳ ゴシック"/>
                <w:sz w:val="20"/>
              </w:rPr>
            </w:pP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・有珠山防災マップを紹介するなど、胆振管内に関連の深い内容で、生徒の学習意欲を高める工夫がなされている。</w:t>
            </w:r>
          </w:p>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・「チェック」や「確かめと応用」など、自立的学びを喚起し、学習を概観できる工夫が見られる。</w:t>
            </w:r>
          </w:p>
        </w:tc>
      </w:tr>
      <w:tr>
        <w:trPr>
          <w:trHeight w:val="24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100" w:firstLineChars="50"/>
              <w:jc w:val="center"/>
              <w:rPr>
                <w:rFonts w:hint="default" w:ascii="ＭＳ ゴシック" w:hAnsi="ＭＳ ゴシック" w:eastAsia="ＭＳ ゴシック"/>
                <w:sz w:val="20"/>
              </w:rPr>
            </w:pPr>
            <w:r>
              <w:rPr>
                <w:rFonts w:hint="eastAsia" w:ascii="ＭＳ ゴシック" w:hAnsi="ＭＳ ゴシック" w:eastAsia="ＭＳ ゴシック"/>
                <w:sz w:val="20"/>
              </w:rPr>
              <w:t>音　楽</w:t>
            </w:r>
          </w:p>
          <w:p>
            <w:pPr>
              <w:pStyle w:val="0"/>
              <w:spacing w:line="0" w:lineRule="atLeast"/>
              <w:ind w:firstLine="100" w:firstLineChars="50"/>
              <w:jc w:val="center"/>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一般</w:t>
            </w:r>
            <w:r>
              <w:rPr>
                <w:rFonts w:hint="eastAsia" w:ascii="ＭＳ ゴシック" w:hAnsi="ＭＳ ゴシック" w:eastAsia="ＭＳ ゴシック"/>
                <w:sz w:val="20"/>
              </w:rPr>
              <w:t>)</w:t>
            </w:r>
          </w:p>
        </w:tc>
        <w:tc>
          <w:tcPr>
            <w:tcW w:w="1495" w:type="dxa"/>
            <w:shd w:val="clear" w:color="auto" w:fill="auto"/>
            <w:vAlign w:val="top"/>
          </w:tcPr>
          <w:p>
            <w:pPr>
              <w:pStyle w:val="0"/>
              <w:spacing w:line="0" w:lineRule="atLeas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教育出版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rPr>
                <w:rFonts w:hint="default" w:ascii="ＭＳ ゴシック" w:hAnsi="ＭＳ ゴシック" w:eastAsia="ＭＳ ゴシック"/>
                <w:sz w:val="20"/>
              </w:rPr>
            </w:pPr>
            <w:r>
              <w:rPr>
                <w:rFonts w:hint="eastAsia" w:ascii="ＭＳ ゴシック" w:hAnsi="ＭＳ ゴシック" w:eastAsia="ＭＳ ゴシック"/>
                <w:sz w:val="20"/>
              </w:rPr>
              <w:t>・国歌「君が代</w:t>
            </w:r>
            <w:r>
              <w:rPr>
                <w:rFonts w:hint="default" w:ascii="ＭＳ ゴシック" w:hAnsi="ＭＳ ゴシック" w:eastAsia="ＭＳ ゴシック"/>
                <w:sz w:val="20"/>
              </w:rPr>
              <w:t>」</w:t>
            </w:r>
            <w:r>
              <w:rPr>
                <w:rFonts w:hint="eastAsia" w:ascii="ＭＳ ゴシック" w:hAnsi="ＭＳ ゴシック" w:eastAsia="ＭＳ ゴシック"/>
                <w:sz w:val="20"/>
              </w:rPr>
              <w:t>の扱いが充実している。</w:t>
            </w:r>
          </w:p>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・鑑賞教材で紹介文を扱うなど、言語活動の充実が図られている。</w:t>
            </w:r>
          </w:p>
        </w:tc>
      </w:tr>
      <w:tr>
        <w:trPr>
          <w:trHeight w:val="33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100" w:firstLineChars="50"/>
              <w:jc w:val="center"/>
              <w:rPr>
                <w:rFonts w:hint="default" w:ascii="ＭＳ ゴシック" w:hAnsi="ＭＳ ゴシック" w:eastAsia="ＭＳ ゴシック"/>
                <w:sz w:val="20"/>
              </w:rPr>
            </w:pPr>
            <w:r>
              <w:rPr>
                <w:rFonts w:hint="eastAsia" w:ascii="ＭＳ ゴシック" w:hAnsi="ＭＳ ゴシック" w:eastAsia="ＭＳ ゴシック"/>
                <w:sz w:val="20"/>
              </w:rPr>
              <w:t>音　楽</w:t>
            </w:r>
          </w:p>
          <w:p>
            <w:pPr>
              <w:pStyle w:val="0"/>
              <w:spacing w:line="0" w:lineRule="atLeast"/>
              <w:ind w:firstLine="100" w:firstLineChars="50"/>
              <w:jc w:val="center"/>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器楽</w:t>
            </w:r>
            <w:r>
              <w:rPr>
                <w:rFonts w:hint="eastAsia" w:ascii="ＭＳ ゴシック" w:hAnsi="ＭＳ ゴシック" w:eastAsia="ＭＳ ゴシック"/>
                <w:sz w:val="20"/>
              </w:rPr>
              <w:t>)</w:t>
            </w:r>
          </w:p>
          <w:p>
            <w:pPr>
              <w:pStyle w:val="0"/>
              <w:spacing w:line="0" w:lineRule="atLeast"/>
              <w:ind w:firstLine="100" w:firstLineChars="50"/>
              <w:rPr>
                <w:rFonts w:hint="default" w:ascii="ＭＳ ゴシック" w:hAnsi="ＭＳ ゴシック" w:eastAsia="ＭＳ ゴシック"/>
                <w:sz w:val="20"/>
              </w:rPr>
            </w:pPr>
          </w:p>
        </w:tc>
        <w:tc>
          <w:tcPr>
            <w:tcW w:w="1495" w:type="dxa"/>
            <w:shd w:val="clear" w:color="auto" w:fill="auto"/>
            <w:vAlign w:val="top"/>
          </w:tcPr>
          <w:p>
            <w:pPr>
              <w:pStyle w:val="0"/>
              <w:spacing w:line="0" w:lineRule="atLeas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教育出版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rPr>
                <w:rFonts w:hint="default" w:ascii="ＭＳ ゴシック" w:hAnsi="ＭＳ ゴシック" w:eastAsia="ＭＳ ゴシック"/>
                <w:sz w:val="20"/>
              </w:rPr>
            </w:pPr>
            <w:r>
              <w:rPr>
                <w:rFonts w:hint="eastAsia" w:ascii="ＭＳ ゴシック" w:hAnsi="ＭＳ ゴシック" w:eastAsia="ＭＳ ゴシック"/>
                <w:sz w:val="20"/>
              </w:rPr>
              <w:t>・見開きのページが</w:t>
            </w:r>
            <w:r>
              <w:rPr>
                <w:rFonts w:hint="default" w:ascii="ＭＳ ゴシック" w:hAnsi="ＭＳ ゴシック" w:eastAsia="ＭＳ ゴシック"/>
                <w:sz w:val="20"/>
              </w:rPr>
              <w:t>充実している。</w:t>
            </w:r>
          </w:p>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・リコーダーの運指表やギターのコード表を掲載するなど、主体的に学習する工夫がなされている</w:t>
            </w:r>
            <w:r>
              <w:rPr>
                <w:rFonts w:hint="default" w:ascii="ＭＳ ゴシック" w:hAnsi="ＭＳ ゴシック" w:eastAsia="ＭＳ ゴシック"/>
                <w:sz w:val="20"/>
              </w:rPr>
              <w:t>。</w:t>
            </w:r>
          </w:p>
        </w:tc>
      </w:tr>
      <w:tr>
        <w:trPr>
          <w:trHeight w:val="31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美　術</w:t>
            </w:r>
          </w:p>
        </w:tc>
        <w:tc>
          <w:tcPr>
            <w:tcW w:w="149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光村図書出版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・日常生活に関連づけ、様々な題材が取り上げられており、免許外の教員にも指導しやすい。</w:t>
            </w:r>
          </w:p>
          <w:p>
            <w:pPr>
              <w:pStyle w:val="0"/>
              <w:spacing w:line="0" w:lineRule="atLeast"/>
              <w:rPr>
                <w:rFonts w:hint="default" w:ascii="ＭＳ ゴシック" w:hAnsi="ＭＳ ゴシック" w:eastAsia="ＭＳ ゴシック"/>
                <w:sz w:val="20"/>
              </w:rPr>
            </w:pPr>
            <w:r>
              <w:rPr>
                <w:rFonts w:hint="eastAsia" w:ascii="ＭＳ ゴシック" w:hAnsi="ＭＳ ゴシック" w:eastAsia="ＭＳ ゴシック"/>
                <w:sz w:val="20"/>
              </w:rPr>
              <w:t>・生徒の学習意欲を高める工夫がなされている。</w:t>
            </w:r>
          </w:p>
        </w:tc>
      </w:tr>
      <w:tr>
        <w:trPr>
          <w:trHeight w:val="22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技　術</w:t>
            </w:r>
          </w:p>
        </w:tc>
        <w:tc>
          <w:tcPr>
            <w:tcW w:w="149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開隆堂出版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・栽培等で北海道に関連した作物を扱うなど、学習意欲を高める工夫がなされている。</w:t>
            </w:r>
          </w:p>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・安全マークがつけられて作業の安全が配慮されるなど、生徒が学習しやすいよう工夫がなされている。</w:t>
            </w:r>
          </w:p>
        </w:tc>
      </w:tr>
      <w:tr>
        <w:trPr>
          <w:trHeight w:val="28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家　庭</w:t>
            </w:r>
          </w:p>
        </w:tc>
        <w:tc>
          <w:tcPr>
            <w:tcW w:w="149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開隆堂出版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rPr>
                <w:rFonts w:hint="default" w:ascii="ＭＳ ゴシック" w:hAnsi="ＭＳ ゴシック" w:eastAsia="ＭＳ ゴシック"/>
                <w:sz w:val="20"/>
              </w:rPr>
            </w:pPr>
            <w:r>
              <w:rPr>
                <w:rFonts w:hint="eastAsia" w:ascii="ＭＳ ゴシック" w:hAnsi="ＭＳ ゴシック" w:eastAsia="ＭＳ ゴシック"/>
                <w:sz w:val="20"/>
              </w:rPr>
              <w:t>・技術科との</w:t>
            </w:r>
            <w:r>
              <w:rPr>
                <w:rFonts w:hint="default" w:ascii="ＭＳ ゴシック" w:hAnsi="ＭＳ ゴシック" w:eastAsia="ＭＳ ゴシック"/>
                <w:sz w:val="20"/>
              </w:rPr>
              <w:t>関連</w:t>
            </w:r>
            <w:r>
              <w:rPr>
                <w:rFonts w:hint="eastAsia" w:ascii="ＭＳ ゴシック" w:hAnsi="ＭＳ ゴシック" w:eastAsia="ＭＳ ゴシック"/>
                <w:sz w:val="20"/>
              </w:rPr>
              <w:t>を</w:t>
            </w:r>
            <w:r>
              <w:rPr>
                <w:rFonts w:hint="default" w:ascii="ＭＳ ゴシック" w:hAnsi="ＭＳ ゴシック" w:eastAsia="ＭＳ ゴシック"/>
                <w:sz w:val="20"/>
              </w:rPr>
              <w:t>図った指導が行いやすい。</w:t>
            </w:r>
          </w:p>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・環境や防災にも配慮され、四つの内容の記述が充実しており、主体的に学習できるよう工夫されている。</w:t>
            </w:r>
          </w:p>
        </w:tc>
      </w:tr>
      <w:tr>
        <w:trPr>
          <w:trHeight w:val="24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保健体育</w:t>
            </w:r>
          </w:p>
        </w:tc>
        <w:tc>
          <w:tcPr>
            <w:tcW w:w="1495" w:type="dxa"/>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学研教育</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みらい</w:t>
            </w:r>
          </w:p>
          <w:p>
            <w:pPr>
              <w:pStyle w:val="0"/>
              <w:spacing w:line="0" w:lineRule="atLeast"/>
              <w:jc w:val="center"/>
              <w:rPr>
                <w:rFonts w:hint="default" w:ascii="ＭＳ ゴシック" w:hAnsi="ＭＳ ゴシック" w:eastAsia="ＭＳ ゴシック"/>
                <w:sz w:val="20"/>
              </w:rPr>
            </w:pP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・バスケットボールの練習方法など、進んで運動に親しめるよう、工夫されている。</w:t>
            </w:r>
          </w:p>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・オリンピック、パラリンピックと自分の関わりを考えさせるなど、多様な内容で主体的学習ができるよう工夫されている。</w:t>
            </w:r>
          </w:p>
        </w:tc>
      </w:tr>
      <w:tr>
        <w:trPr>
          <w:trHeight w:val="270" w:hRule="atLeast"/>
        </w:trPr>
        <w:tc>
          <w:tcPr>
            <w:tcW w:w="1367"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spacing w:line="0" w:lineRule="atLeast"/>
              <w:ind w:firstLine="300" w:firstLineChars="150"/>
              <w:rPr>
                <w:rFonts w:hint="default" w:ascii="ＭＳ ゴシック" w:hAnsi="ＭＳ ゴシック" w:eastAsia="ＭＳ ゴシック"/>
                <w:sz w:val="20"/>
              </w:rPr>
            </w:pPr>
            <w:r>
              <w:rPr>
                <w:rFonts w:hint="eastAsia" w:ascii="ＭＳ ゴシック" w:hAnsi="ＭＳ ゴシック" w:eastAsia="ＭＳ ゴシック"/>
                <w:sz w:val="20"/>
              </w:rPr>
              <w:t>外国語</w:t>
            </w:r>
          </w:p>
        </w:tc>
        <w:tc>
          <w:tcPr>
            <w:tcW w:w="149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開隆堂出版</w:t>
            </w:r>
          </w:p>
        </w:tc>
        <w:tc>
          <w:tcPr>
            <w:tcW w:w="6885"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・英語の歌を取り上げたり、伝統文化を取り上げるなど、学習の意欲化を図る工夫がなされている。</w:t>
            </w:r>
          </w:p>
          <w:p>
            <w:pPr>
              <w:pStyle w:val="0"/>
              <w:spacing w:line="0" w:lineRule="atLeast"/>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・巻末に「英語でできることになったリスト」</w:t>
            </w:r>
            <w:r>
              <w:rPr>
                <w:rFonts w:hint="eastAsia" w:ascii="ＭＳ ゴシック" w:hAnsi="ＭＳ ゴシック" w:eastAsia="ＭＳ ゴシック"/>
                <w:sz w:val="20"/>
              </w:rPr>
              <w:t>(</w:t>
            </w:r>
            <w:r>
              <w:rPr>
                <w:rFonts w:hint="eastAsia" w:ascii="ＭＳ ゴシック" w:hAnsi="ＭＳ ゴシック" w:eastAsia="ＭＳ ゴシック"/>
                <w:sz w:val="20"/>
              </w:rPr>
              <w:t>キャン・ドゥリスト</w:t>
            </w:r>
            <w:r>
              <w:rPr>
                <w:rFonts w:hint="eastAsia" w:ascii="ＭＳ ゴシック" w:hAnsi="ＭＳ ゴシック" w:eastAsia="ＭＳ ゴシック"/>
                <w:sz w:val="20"/>
              </w:rPr>
              <w:t>)</w:t>
            </w:r>
            <w:r>
              <w:rPr>
                <w:rFonts w:hint="eastAsia" w:ascii="ＭＳ ゴシック" w:hAnsi="ＭＳ ゴシック" w:eastAsia="ＭＳ ゴシック"/>
                <w:sz w:val="20"/>
              </w:rPr>
              <w:t>などを設け、学習を振り返ることができるよう工夫されている。</w:t>
            </w:r>
          </w:p>
        </w:tc>
      </w:tr>
    </w:tbl>
    <w:p>
      <w:pPr>
        <w:pStyle w:val="0"/>
        <w:rPr>
          <w:rFonts w:hint="default"/>
        </w:rPr>
      </w:pPr>
    </w:p>
    <w:sectPr>
      <w:pgSz w:w="11906" w:h="16838"/>
      <w:pgMar w:top="1134" w:right="1134" w:bottom="85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0</Words>
  <Characters>1396</Characters>
  <Application>JUST Note</Application>
  <Lines>96</Lines>
  <Paragraphs>71</Paragraphs>
  <Company>Microsoft</Company>
  <CharactersWithSpaces>1420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j051206</dc:creator>
  <cp:lastModifiedBy>山田 奈央子</cp:lastModifiedBy>
  <cp:lastPrinted>2019-08-20T11:10:01Z</cp:lastPrinted>
  <dcterms:created xsi:type="dcterms:W3CDTF">2019-08-14T02:57:00Z</dcterms:created>
  <dcterms:modified xsi:type="dcterms:W3CDTF">2019-11-18T08:33:07Z</dcterms:modified>
  <cp:revision>14</cp:revision>
</cp:coreProperties>
</file>