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000000"/>
          <w:spacing w:val="-2"/>
          <w:kern w:val="0"/>
          <w:sz w:val="22"/>
        </w:rPr>
      </w:pPr>
      <w:bookmarkStart w:id="0" w:name="_GoBack"/>
      <w:bookmarkEnd w:id="0"/>
      <w:r>
        <w:rPr>
          <w:rFonts w:hint="eastAsia" w:ascii="ＭＳ ゴシック" w:hAnsi="ＭＳ ゴシック" w:eastAsia="ＭＳ ゴシック"/>
          <w:color w:val="000000"/>
          <w:spacing w:val="-2"/>
          <w:kern w:val="0"/>
          <w:sz w:val="22"/>
        </w:rPr>
        <w:t>令和６年度から使用する小学校用教科用図書</w:t>
      </w:r>
    </w:p>
    <w:p>
      <w:pPr>
        <w:pStyle w:val="0"/>
        <w:ind w:right="220"/>
        <w:jc w:val="center"/>
        <w:rPr>
          <w:rFonts w:hint="default"/>
        </w:rPr>
      </w:pPr>
      <w:r>
        <w:rPr>
          <w:rFonts w:hint="eastAsia" w:ascii="ＭＳ ゴシック" w:hAnsi="ＭＳ ゴシック" w:eastAsia="ＭＳ ゴシック"/>
          <w:color w:val="000000"/>
          <w:spacing w:val="-2"/>
          <w:kern w:val="0"/>
          <w:sz w:val="22"/>
        </w:rPr>
        <w:t>教科用図書第１０採択地区教育委員会協議会　選定結果</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7"/>
        <w:gridCol w:w="1495"/>
        <w:gridCol w:w="6885"/>
      </w:tblGrid>
      <w:tr>
        <w:trPr>
          <w:trHeight w:val="300" w:hRule="atLeast"/>
        </w:trPr>
        <w:tc>
          <w:tcPr>
            <w:tcW w:w="136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種　目</w:t>
            </w:r>
          </w:p>
        </w:tc>
        <w:tc>
          <w:tcPr>
            <w:tcW w:w="1495"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発　行　者</w:t>
            </w:r>
          </w:p>
        </w:tc>
        <w:tc>
          <w:tcPr>
            <w:tcW w:w="688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選　　　定　　理　　　由</w:t>
            </w:r>
          </w:p>
        </w:tc>
      </w:tr>
      <w:tr>
        <w:trPr>
          <w:trHeight w:val="243" w:hRule="atLeast"/>
        </w:trPr>
        <w:tc>
          <w:tcPr>
            <w:tcW w:w="1367"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国語</w:t>
            </w:r>
          </w:p>
          <w:p>
            <w:pPr>
              <w:pStyle w:val="0"/>
              <w:jc w:val="center"/>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p>
        </w:tc>
        <w:tc>
          <w:tcPr>
            <w:tcW w:w="14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光村図書出版</w:t>
            </w:r>
          </w:p>
        </w:tc>
        <w:tc>
          <w:tcPr>
            <w:tcW w:w="6885"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題材に入る前に、学習の目標とこれまでの学習と関連する既習の題材が明</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記され、また、題材の後には、学習課程が一目で分かるように記載されている手引きがあり、考えや思いを伝え合う活動が必ず盛り込まれている。</w:t>
            </w:r>
          </w:p>
        </w:tc>
      </w:tr>
      <w:tr>
        <w:trPr>
          <w:trHeight w:val="24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書写</w: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tc>
        <w:tc>
          <w:tcPr>
            <w:tcW w:w="1495" w:type="dxa"/>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光村図書出版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学習過程を分かりやすく示し掲載したり、教材ごとに学習内容についての自己評価欄を設けたりするなど、児童が主体的に取組むことができる工夫がなされている。</w:t>
            </w:r>
          </w:p>
        </w:tc>
      </w:tr>
      <w:tr>
        <w:trPr>
          <w:trHeight w:val="19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社会</w:t>
            </w:r>
          </w:p>
          <w:p>
            <w:pPr>
              <w:pStyle w:val="0"/>
              <w:jc w:val="center"/>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p>
        </w:tc>
        <w:tc>
          <w:tcPr>
            <w:tcW w:w="1495" w:type="dxa"/>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教育出版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自然災害にかかわる学習において、北海道の地域特性を考慮した内容を取り上げるなど、児童の学習意欲を高める工夫がなされている。</w:t>
            </w:r>
          </w:p>
        </w:tc>
      </w:tr>
      <w:tr>
        <w:trPr>
          <w:trHeight w:val="27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地図</w:t>
            </w:r>
          </w:p>
          <w:p>
            <w:pPr>
              <w:pStyle w:val="0"/>
              <w:jc w:val="center"/>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p>
        </w:tc>
        <w:tc>
          <w:tcPr>
            <w:tcW w:w="1495" w:type="dxa"/>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帝国書院</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国内における北海道の位置関係、北海道全体の地形や主な産業、交通網の様子などを掲載し、北海道の地域特性を考慮した内容を取り上げるなど、児童の学習意欲を高める工夫がなされている。</w:t>
            </w:r>
          </w:p>
        </w:tc>
      </w:tr>
      <w:tr>
        <w:trPr>
          <w:trHeight w:val="22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算数</w:t>
            </w:r>
          </w:p>
          <w:p>
            <w:pPr>
              <w:pStyle w:val="0"/>
              <w:jc w:val="center"/>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p>
        </w:tc>
        <w:tc>
          <w:tcPr>
            <w:tcW w:w="1495" w:type="dxa"/>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新興出版社</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啓林館</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基礎、基本の定着を図る学習活動や自主的に取組むことができる内容を掲載するなど、児童の学習意欲を高める工夫がなされている。</w:t>
            </w:r>
          </w:p>
        </w:tc>
      </w:tr>
      <w:tr>
        <w:trPr>
          <w:trHeight w:val="22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理科</w:t>
            </w:r>
          </w:p>
          <w:p>
            <w:pPr>
              <w:pStyle w:val="0"/>
              <w:jc w:val="center"/>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p>
        </w:tc>
        <w:tc>
          <w:tcPr>
            <w:tcW w:w="1495" w:type="dxa"/>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東京書籍</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学習課題を設定し見通しを持たせるとともに、考えを広げたり深めたりする活動が取り上げられるなど、子どもたちが主体的・対話的に学びに向かうことができるよう工夫がなされている。</w:t>
            </w:r>
          </w:p>
        </w:tc>
      </w:tr>
      <w:tr>
        <w:trPr>
          <w:trHeight w:val="31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生活</w:t>
            </w:r>
          </w:p>
          <w:p>
            <w:pPr>
              <w:pStyle w:val="0"/>
              <w:jc w:val="center"/>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p>
        </w:tc>
        <w:tc>
          <w:tcPr>
            <w:tcW w:w="1495" w:type="dxa"/>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教育出版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学習課題を設定し、見通しをもたせるとともに、プログラミング的思考能力を育成する工夫がなされている。</w:t>
            </w:r>
          </w:p>
        </w:tc>
      </w:tr>
      <w:tr>
        <w:trPr>
          <w:trHeight w:val="561"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音楽</w:t>
            </w:r>
          </w:p>
          <w:p>
            <w:pPr>
              <w:pStyle w:val="0"/>
              <w:jc w:val="center"/>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p>
        </w:tc>
        <w:tc>
          <w:tcPr>
            <w:tcW w:w="1495" w:type="dxa"/>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教育出版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教材曲や学習活動に則した解説を示したり、北海道に関わりのある民謡を取り上げるなど、児童の学習意欲を高める工夫がなされている。</w:t>
            </w:r>
          </w:p>
        </w:tc>
      </w:tr>
      <w:tr>
        <w:trPr>
          <w:trHeight w:val="240"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図画工作</w:t>
            </w:r>
          </w:p>
          <w:p>
            <w:pPr>
              <w:pStyle w:val="0"/>
              <w:jc w:val="center"/>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p>
        </w:tc>
        <w:tc>
          <w:tcPr>
            <w:tcW w:w="1495" w:type="dxa"/>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日本文教出版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児童の学習意欲を高めるため、児童が実際に手や足を動かし試しながら発想を広げることができるなどの工夫がなされている。</w:t>
            </w:r>
          </w:p>
        </w:tc>
      </w:tr>
      <w:tr>
        <w:trPr>
          <w:trHeight w:val="557"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家庭</w:t>
            </w:r>
          </w:p>
          <w:p>
            <w:pPr>
              <w:pStyle w:val="0"/>
              <w:jc w:val="center"/>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p>
        </w:tc>
        <w:tc>
          <w:tcPr>
            <w:tcW w:w="1495" w:type="dxa"/>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開隆堂出版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生活のさまざまな場面を想起することができることや家庭学習へつなげたりすることができる内容の掲載がされており、児童が主体的に学習に取り組むことができる工夫がなされている。</w:t>
            </w:r>
          </w:p>
        </w:tc>
      </w:tr>
      <w:tr>
        <w:trPr>
          <w:trHeight w:val="31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保健</w:t>
            </w:r>
          </w:p>
          <w:p>
            <w:pPr>
              <w:pStyle w:val="0"/>
              <w:jc w:val="center"/>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p>
        </w:tc>
        <w:tc>
          <w:tcPr>
            <w:tcW w:w="1495" w:type="dxa"/>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東京書籍</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身に付けた正しい知識を身につけさせることにより日常でも役立てるなど、学習意欲や関心を高めるための工夫がなされている。</w:t>
            </w:r>
          </w:p>
        </w:tc>
      </w:tr>
      <w:tr>
        <w:trPr>
          <w:trHeight w:val="315" w:hRule="atLeast"/>
        </w:trPr>
        <w:tc>
          <w:tcPr>
            <w:tcW w:w="136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外国語</w:t>
            </w:r>
          </w:p>
          <w:p>
            <w:pPr>
              <w:pStyle w:val="0"/>
              <w:jc w:val="center"/>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p>
        </w:tc>
        <w:tc>
          <w:tcPr>
            <w:tcW w:w="1495" w:type="dxa"/>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開隆堂出版</w:t>
            </w:r>
          </w:p>
        </w:tc>
        <w:tc>
          <w:tcPr>
            <w:tcW w:w="68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sz w:val="20"/>
              </w:rPr>
            </w:pPr>
            <w:r>
              <w:rPr>
                <w:rFonts w:hint="eastAsia" w:asciiTheme="majorEastAsia" w:hAnsiTheme="majorEastAsia" w:eastAsiaTheme="majorEastAsia"/>
                <w:sz w:val="20"/>
              </w:rPr>
              <w:t>中学校への系統的・発展的な学習が期待できること。</w:t>
            </w:r>
          </w:p>
          <w:p>
            <w:pPr>
              <w:pStyle w:val="0"/>
              <w:rPr>
                <w:rFonts w:hint="eastAsia" w:asciiTheme="majorEastAsia" w:hAnsiTheme="majorEastAsia" w:eastAsiaTheme="majorEastAsia"/>
                <w:sz w:val="20"/>
              </w:rPr>
            </w:pPr>
            <w:r>
              <w:rPr>
                <w:rFonts w:hint="eastAsia" w:asciiTheme="majorEastAsia" w:hAnsiTheme="majorEastAsia" w:eastAsiaTheme="majorEastAsia"/>
                <w:sz w:val="20"/>
              </w:rPr>
              <w:t>ペアやグループ活動によるコミュニケーションを図る機会を設けたりするなど、児童の学習意欲を高める工夫がなされている。</w:t>
            </w:r>
          </w:p>
        </w:tc>
      </w:tr>
      <w:tr>
        <w:trPr>
          <w:trHeight w:val="270" w:hRule="atLeast"/>
        </w:trPr>
        <w:tc>
          <w:tcPr>
            <w:tcW w:w="1367"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道徳</w:t>
            </w:r>
          </w:p>
          <w:p>
            <w:pPr>
              <w:pStyle w:val="0"/>
              <w:jc w:val="center"/>
              <w:rPr>
                <w:rFonts w:hint="eastAsia" w:asciiTheme="majorEastAsia" w:hAnsiTheme="majorEastAsia" w:eastAsiaTheme="majorEastAsia"/>
                <w:sz w:val="20"/>
              </w:rPr>
            </w:pPr>
          </w:p>
          <w:p>
            <w:pPr>
              <w:pStyle w:val="0"/>
              <w:jc w:val="center"/>
              <w:rPr>
                <w:rFonts w:hint="eastAsia" w:asciiTheme="majorEastAsia" w:hAnsiTheme="majorEastAsia" w:eastAsiaTheme="majorEastAsia"/>
                <w:sz w:val="20"/>
              </w:rPr>
            </w:pPr>
          </w:p>
        </w:tc>
        <w:tc>
          <w:tcPr>
            <w:tcW w:w="149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eastAsia" w:asciiTheme="majorEastAsia" w:hAnsiTheme="majorEastAsia" w:eastAsiaTheme="majorEastAsia"/>
              </w:rPr>
            </w:pPr>
            <w:r>
              <w:rPr>
                <w:rFonts w:hint="eastAsia" w:asciiTheme="majorEastAsia" w:hAnsiTheme="majorEastAsia" w:eastAsiaTheme="majorEastAsia"/>
              </w:rPr>
              <w:t>光村図書出版</w:t>
            </w:r>
          </w:p>
        </w:tc>
        <w:tc>
          <w:tcPr>
            <w:tcW w:w="6885"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導入における発問により、主体的に考え、話し合う、また、学習を次につなげるなど、児童が主体的に学習に取り組むことができる工夫がなされている。</w:t>
            </w:r>
          </w:p>
        </w:tc>
      </w:tr>
    </w:tbl>
    <w:p>
      <w:pPr>
        <w:pStyle w:val="0"/>
        <w:rPr>
          <w:rFonts w:hint="default"/>
        </w:rPr>
      </w:pPr>
    </w:p>
    <w:sectPr>
      <w:pgSz w:w="11906" w:h="16838"/>
      <w:pgMar w:top="1134" w:right="1134" w:bottom="851"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TotalTime>
  <Pages>2</Pages>
  <Words>7</Words>
  <Characters>1296</Characters>
  <Application>JUST Note</Application>
  <Lines>151</Lines>
  <Paragraphs>57</Paragraphs>
  <Company>Microsoft</Company>
  <CharactersWithSpaces>1322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j051206</dc:creator>
  <cp:lastModifiedBy>佐藤　梨沙</cp:lastModifiedBy>
  <cp:lastPrinted>2023-08-04T05:51:22Z</cp:lastPrinted>
  <dcterms:created xsi:type="dcterms:W3CDTF">2019-08-19T23:22:00Z</dcterms:created>
  <dcterms:modified xsi:type="dcterms:W3CDTF">2023-08-07T01:30:32Z</dcterms:modified>
  <cp:revision>11</cp:revision>
</cp:coreProperties>
</file>